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TERM SHEET</w:t>
      </w:r>
    </w:p>
    <w:p>
      <w:pPr>
        <w:pStyle w:val="Heading2"/>
      </w:pPr>
      <w:r>
        <w:t xml:space="preserve">Series B Preferred Stock Financing of MedScribe AI, Inc.</w:t>
      </w:r>
    </w:p>
    <w:p>
      <w:pPr>
        <w:spacing w:after="0" w:line="120" w:lineRule="auto"/>
      </w:pPr>
    </w:p>
    <w:p>
      <w:r>
        <w:rPr>
          <w:b/>
        </w:rPr>
        <w:t xml:space="preserve">Date:</w:t>
      </w:r>
      <w:r>
        <w:t xml:space="preserve"> November 3, 2025</w:t>
      </w:r>
    </w:p>
    <w:p>
      <w:r>
        <w:rPr>
          <w:b/>
        </w:rPr>
        <w:t xml:space="preserve">Confidential</w:t>
      </w:r>
    </w:p>
    <w:p>
      <w:pPr>
        <w:spacing w:after="0" w:line="120" w:lineRule="auto"/>
      </w:pPr>
    </w:p>
    <w:p>
      <w:r>
        <w:t xml:space="preserve">This Term Sheet summarizes the principal terms for the Series B Preferred Stock</w:t>
      </w:r>
    </w:p>
    <w:p>
      <w:r>
        <w:t xml:space="preserve">Financing of MedScribe AI, Inc., a Delaware corporation (the "Company"). This</w:t>
      </w:r>
    </w:p>
    <w:p>
      <w:r>
        <w:t xml:space="preserve">document is intended solely for discussion purposes and is non-binding except</w:t>
      </w:r>
    </w:p>
    <w:p>
      <w:r>
        <w:t xml:space="preserve">for the "No-Shop," "Confidentiality," and "Legal Fees" provisions.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OFFERING TERMS</w:t>
      </w:r>
    </w:p>
    <w:p>
      <w:pPr>
        <w:spacing w:after="0" w:line="120" w:lineRule="auto"/>
      </w:pPr>
    </w:p>
    <w:p>
      <w:r>
        <w:rPr>
          <w:b/>
        </w:rPr>
        <w:t xml:space="preserve">Security:</w:t>
      </w:r>
      <w:r>
        <w:t xml:space="preserve"> Series B Preferred Stock (the "Series B Preferred")</w:t>
      </w:r>
    </w:p>
    <w:p>
      <w:pPr>
        <w:spacing w:after="0" w:line="120" w:lineRule="auto"/>
      </w:pPr>
    </w:p>
    <w:p>
      <w:r>
        <w:rPr>
          <w:b/>
        </w:rPr>
        <w:t xml:space="preserve">Closing Date:</w:t>
      </w:r>
      <w:r>
        <w:t xml:space="preserve"> On or before December 20, 2025</w:t>
      </w:r>
    </w:p>
    <w:p>
      <w:pPr>
        <w:spacing w:after="0" w:line="120" w:lineRule="auto"/>
      </w:pPr>
    </w:p>
    <w:p>
      <w:r>
        <w:rPr>
          <w:b/>
        </w:rPr>
        <w:t xml:space="preserve">Amount Raised:</w:t>
      </w:r>
      <w:r>
        <w:t xml:space="preserve"> $45,000,000</w:t>
      </w:r>
    </w:p>
    <w:p>
      <w:pPr>
        <w:spacing w:after="0" w:line="120" w:lineRule="auto"/>
      </w:pPr>
    </w:p>
    <w:p>
      <w:r>
        <w:rPr>
          <w:b/>
        </w:rPr>
        <w:t xml:space="preserve">Pre-Money Valuation:</w:t>
      </w:r>
      <w:r>
        <w:t xml:space="preserve"> $350,000,000 on a fully diluted basis including option</w:t>
      </w:r>
    </w:p>
    <w:p>
      <w:r>
        <w:t xml:space="preserve">pool increase</w:t>
      </w:r>
    </w:p>
    <w:p>
      <w:pPr>
        <w:spacing w:after="0" w:line="120" w:lineRule="auto"/>
      </w:pPr>
    </w:p>
    <w:p>
      <w:r>
        <w:rPr>
          <w:b/>
        </w:rPr>
        <w:t xml:space="preserve">Price Per Share:</w:t>
      </w:r>
      <w:r>
        <w:t xml:space="preserve"> $14.58 per share (based on 24,000,000 fully diluted shares</w:t>
      </w:r>
    </w:p>
    <w:p>
      <w:r>
        <w:t xml:space="preserve">outstanding pre-money)</w:t>
      </w:r>
    </w:p>
    <w:p>
      <w:pPr>
        <w:spacing w:after="0" w:line="120" w:lineRule="auto"/>
      </w:pPr>
    </w:p>
    <w:p>
      <w:r>
        <w:rPr>
          <w:b/>
        </w:rPr>
        <w:t xml:space="preserve">Post-Money Valuation:</w:t>
      </w:r>
      <w:r>
        <w:t xml:space="preserve"> $395,000,000</w:t>
      </w:r>
    </w:p>
    <w:p>
      <w:pPr>
        <w:spacing w:after="0" w:line="120" w:lineRule="auto"/>
      </w:pPr>
    </w:p>
    <w:p>
      <w:r>
        <w:rPr>
          <w:b/>
        </w:rPr>
        <w:t xml:space="preserve">Investors: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Investor</w:t>
            </w:r>
          </w:p>
        </w:tc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Amount</w:t>
            </w:r>
          </w:p>
        </w:tc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Shares</w:t>
            </w:r>
          </w:p>
        </w:tc>
        <w:tc>
          <w:tcPr>
            <w:tcW w:w="225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Type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General Atlantic (Co-Lead)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$25,000,000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1,714,286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New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Tiger Global Management (Co-Lead)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$15,000,000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1,028,571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New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Bessemer Venture Partners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$5,000,000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342,857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Existing (Series A)</w:t>
            </w:r>
          </w:p>
        </w:tc>
      </w:tr>
      <w:tr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**Total**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**$45,000,000**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**3,085,714**</w:t>
            </w:r>
          </w:p>
        </w:tc>
        <w:tc>
          <w:tcPr>
            <w:tcW w:w="225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/>
            </w:r>
          </w:p>
        </w:tc>
      </w:tr>
    </w:tbl>
    <w:p>
      <w:pPr>
        <w:spacing w:after="0" w:line="120" w:lineRule="auto"/>
      </w:pPr>
    </w:p>
    <w:p>
      <w:r>
        <w:rPr>
          <w:b/>
        </w:rPr>
        <w:t xml:space="preserve">Prior Capitalization:</w:t>
      </w:r>
    </w:p>
    <w:p>
      <w:pPr>
        <w:pStyle w:val="ListBullet"/>
      </w:pPr>
      <w:r>
        <w:t xml:space="preserve">• </w:t>
      </w:r>
      <w:r>
        <w:t xml:space="preserve">Founders (Dr. Priya Sharma, 28%; David Kim, 22%): 12,000,000 shares</w:t>
      </w:r>
    </w:p>
    <w:p>
      <w:pPr>
        <w:pStyle w:val="ListBullet"/>
      </w:pPr>
      <w:r>
        <w:t xml:space="preserve">• </w:t>
      </w:r>
      <w:r>
        <w:t xml:space="preserve">Series A Preferred (Bessemer lead, $18M at $90M pre, Jan 2024): 4,500,000 shares</w:t>
      </w:r>
    </w:p>
    <w:p>
      <w:pPr>
        <w:pStyle w:val="ListBullet"/>
      </w:pPr>
      <w:r>
        <w:t xml:space="preserve">• </w:t>
      </w:r>
      <w:r>
        <w:t xml:space="preserve">Employee Option Pool (granted): 3,600,000 shares</w:t>
      </w:r>
    </w:p>
    <w:p>
      <w:pPr>
        <w:pStyle w:val="ListBullet"/>
      </w:pPr>
      <w:r>
        <w:t xml:space="preserve">• </w:t>
      </w:r>
      <w:r>
        <w:t xml:space="preserve">Advisor Shares: 400,000 shares</w:t>
      </w:r>
    </w:p>
    <w:p>
      <w:pPr>
        <w:pStyle w:val="ListBullet"/>
      </w:pPr>
      <w:r>
        <w:t xml:space="preserve">• </w:t>
      </w:r>
      <w:r>
        <w:t xml:space="preserve">Unallocated Option Pool: 3,500,000 shares</w:t>
      </w:r>
    </w:p>
    <w:p>
      <w:pPr>
        <w:spacing w:after="0" w:line="120" w:lineRule="auto"/>
      </w:pPr>
    </w:p>
    <w:p>
      <w:r>
        <w:rPr>
          <w:b/>
        </w:rPr>
        <w:t xml:space="preserve">Option Pool:</w:t>
      </w:r>
      <w:r>
        <w:t xml:space="preserve"> Shall equal 12% of post-financing fully diluted capitalization.</w:t>
      </w:r>
    </w:p>
    <w:p>
      <w:r>
        <w:t xml:space="preserve">Current unallocated pool is 14.6% pre-financing; no expansion required.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CHARTER PROVISIONS</w:t>
      </w:r>
    </w:p>
    <w:p>
      <w:pPr>
        <w:spacing w:after="0" w:line="120" w:lineRule="auto"/>
      </w:pPr>
    </w:p>
    <w:p>
      <w:r>
        <w:rPr>
          <w:b/>
        </w:rPr>
        <w:t xml:space="preserve">Dividends:</w:t>
      </w:r>
      <w:r>
        <w:t xml:space="preserve"> Non-cumulative dividends at 6% per annum, payable when declared</w:t>
      </w:r>
    </w:p>
    <w:p>
      <w:r>
        <w:t xml:space="preserve">by the Board. Series B participates pari passu with Series A and Common Stock</w:t>
      </w:r>
    </w:p>
    <w:p>
      <w:r>
        <w:t xml:space="preserve">on an as-converted basis for any additional dividends declared.</w:t>
      </w:r>
    </w:p>
    <w:p>
      <w:pPr>
        <w:spacing w:after="0" w:line="120" w:lineRule="auto"/>
      </w:pPr>
    </w:p>
    <w:p>
      <w:r>
        <w:rPr>
          <w:b/>
        </w:rPr>
        <w:t xml:space="preserve">Liquidation Preference:</w:t>
      </w:r>
      <w:r>
        <w:t xml:space="preserve"> 1.0x non-participating preferred. In a Liquidation</w:t>
      </w:r>
    </w:p>
    <w:p>
      <w:r>
        <w:t xml:space="preserve">Event, Series B Preferred receives the greater of (i) 1.0x Original Purchase</w:t>
      </w:r>
    </w:p>
    <w:p>
      <w:r>
        <w:t xml:space="preserve">Price plus declared but unpaid dividends, or (ii) the as-converted amount.</w:t>
      </w:r>
    </w:p>
    <w:p>
      <w:r>
        <w:t xml:space="preserve">Series B is senior to Series A, which is senior to Common Stock.</w:t>
      </w:r>
    </w:p>
    <w:p>
      <w:pPr>
        <w:spacing w:after="0" w:line="120" w:lineRule="auto"/>
      </w:pPr>
    </w:p>
    <w:p>
      <w:r>
        <w:rPr>
          <w:b/>
        </w:rPr>
        <w:t xml:space="preserve">Anti-Dilution:</w:t>
      </w:r>
    </w:p>
    <w:p>
      <w:pPr>
        <w:pStyle w:val="ListBullet"/>
      </w:pPr>
      <w:r>
        <w:t xml:space="preserve">• </w:t>
      </w:r>
      <w:r>
        <w:rPr>
          <w:b/>
        </w:rPr>
        <w:t xml:space="preserve">For General Atlantic's $25,000,000 allocation:</w:t>
      </w:r>
      <w:r>
        <w:t xml:space="preserve"> Full ratchet anti-dilution.</w:t>
      </w:r>
    </w:p>
    <w:p>
      <w:r>
        <w:t xml:space="preserve">If shares are issued below the Series B price, GA's conversion price is</w:t>
      </w:r>
    </w:p>
    <w:p>
      <w:r>
        <w:t xml:space="preserve">reduced to the new issuance price regardless of the number of shares issued.</w:t>
      </w:r>
    </w:p>
    <w:p>
      <w:pPr>
        <w:pStyle w:val="ListBullet"/>
      </w:pPr>
      <w:r>
        <w:t xml:space="preserve">• </w:t>
      </w:r>
      <w:r>
        <w:rPr>
          <w:b/>
        </w:rPr>
        <w:t xml:space="preserve">For all other Series B holders (Tiger Global, Bessemer):</w:t>
      </w:r>
      <w:r>
        <w:t xml:space="preserve"> Broad-based</w:t>
      </w:r>
    </w:p>
    <w:p>
      <w:r>
        <w:t xml:space="preserve">weighted average anti-dilution protection.</w:t>
      </w:r>
    </w:p>
    <w:p>
      <w:pPr>
        <w:pStyle w:val="ListBullet"/>
      </w:pPr>
      <w:r>
        <w:t xml:space="preserve">• </w:t>
      </w:r>
      <w:r>
        <w:t xml:space="preserve">Standard carve-outs apply to both tiers: employee incentive grants (up to</w:t>
      </w:r>
    </w:p>
    <w:p>
      <w:r>
        <w:t xml:space="preserve">the approved pool), strategic issuances approved by the Board, and conversions</w:t>
      </w:r>
    </w:p>
    <w:p>
      <w:r>
        <w:t xml:space="preserve">of existing outstanding instruments.</w:t>
      </w:r>
    </w:p>
    <w:p>
      <w:pPr>
        <w:spacing w:after="0" w:line="120" w:lineRule="auto"/>
      </w:pPr>
    </w:p>
    <w:p>
      <w:r>
        <w:rPr>
          <w:b/>
        </w:rPr>
        <w:t xml:space="preserve">Conversion:</w:t>
      </w:r>
      <w:r>
        <w:t xml:space="preserve"> Series B Preferred is convertible at any time into Common Stock</w:t>
      </w:r>
    </w:p>
    <w:p>
      <w:r>
        <w:t xml:space="preserve">at the applicable conversion ratio (initially 1:1), subject to anti-dilution</w:t>
      </w:r>
    </w:p>
    <w:p>
      <w:r>
        <w:t xml:space="preserve">adjustments.</w:t>
      </w:r>
    </w:p>
    <w:p>
      <w:pPr>
        <w:spacing w:after="0" w:line="120" w:lineRule="auto"/>
      </w:pPr>
    </w:p>
    <w:p>
      <w:r>
        <w:rPr>
          <w:b/>
        </w:rPr>
        <w:t xml:space="preserve">Automatic Conversion:</w:t>
      </w:r>
      <w:r>
        <w:t xml:space="preserve"> Series B converts automatically upon (i) a firmly</w:t>
      </w:r>
    </w:p>
    <w:p>
      <w:r>
        <w:t xml:space="preserve">underwritten IPO with gross proceeds of at least $100,000,000 and a price per</w:t>
      </w:r>
    </w:p>
    <w:p>
      <w:r>
        <w:t xml:space="preserve">share of at least 2x the Series B Original Purchase Price, or (ii) consent of</w:t>
      </w:r>
    </w:p>
    <w:p>
      <w:r>
        <w:t xml:space="preserve">holders of 66.7% of the outstanding Series B Preferred (voting as a single</w:t>
      </w:r>
    </w:p>
    <w:p>
      <w:r>
        <w:t xml:space="preserve">class).</w:t>
      </w:r>
    </w:p>
    <w:p>
      <w:pPr>
        <w:spacing w:after="0" w:line="120" w:lineRule="auto"/>
      </w:pPr>
    </w:p>
    <w:p>
      <w:r>
        <w:rPr>
          <w:b/>
        </w:rPr>
        <w:t xml:space="preserve">Voting Rights:</w:t>
      </w:r>
      <w:r>
        <w:t xml:space="preserve"> Series B votes with all other classes on an as-converted</w:t>
      </w:r>
    </w:p>
    <w:p>
      <w:r>
        <w:t xml:space="preserve">basis. Protective provisions require consent of holders of a majority of</w:t>
      </w:r>
    </w:p>
    <w:p>
      <w:r>
        <w:t xml:space="preserve">Series B Preferred for:</w:t>
      </w:r>
    </w:p>
    <w:p>
      <w:pPr>
        <w:pStyle w:val="ListBullet"/>
      </w:pPr>
      <w:r>
        <w:t xml:space="preserve">1. </w:t>
      </w:r>
      <w:r>
        <w:t xml:space="preserve">Amendment of Charter or Bylaws adversely affecting Series B</w:t>
      </w:r>
    </w:p>
    <w:p>
      <w:pPr>
        <w:pStyle w:val="ListBullet"/>
      </w:pPr>
      <w:r>
        <w:t xml:space="preserve">2. </w:t>
      </w:r>
      <w:r>
        <w:t xml:space="preserve">Authorization of equity senior to or pari passu with Series B</w:t>
      </w:r>
    </w:p>
    <w:p>
      <w:pPr>
        <w:pStyle w:val="ListBullet"/>
      </w:pPr>
      <w:r>
        <w:t xml:space="preserve">3. </w:t>
      </w:r>
      <w:r>
        <w:t xml:space="preserve">Any merger, sale, or change of control</w:t>
      </w:r>
    </w:p>
    <w:p>
      <w:pPr>
        <w:pStyle w:val="ListBullet"/>
      </w:pPr>
      <w:r>
        <w:t xml:space="preserve">4. </w:t>
      </w:r>
      <w:r>
        <w:t xml:space="preserve">Redemption of any equity securities (other than at-cost employee repurchases)</w:t>
      </w:r>
    </w:p>
    <w:p>
      <w:pPr>
        <w:pStyle w:val="ListBullet"/>
      </w:pPr>
      <w:r>
        <w:t xml:space="preserve">5. </w:t>
      </w:r>
      <w:r>
        <w:t xml:space="preserve">Incurrence of debt exceeding $5,000,000</w:t>
      </w:r>
    </w:p>
    <w:p>
      <w:pPr>
        <w:pStyle w:val="ListBullet"/>
      </w:pPr>
      <w:r>
        <w:t xml:space="preserve">6. </w:t>
      </w:r>
      <w:r>
        <w:t xml:space="preserve">Capital expenditures exceeding $3,000,000 in any fiscal year</w:t>
      </w:r>
    </w:p>
    <w:p>
      <w:pPr>
        <w:pStyle w:val="ListBullet"/>
      </w:pPr>
      <w:r>
        <w:t xml:space="preserve">7. </w:t>
      </w:r>
      <w:r>
        <w:t xml:space="preserve">Entry into material agreements with founders, officers, or affiliates</w:t>
      </w:r>
    </w:p>
    <w:p>
      <w:pPr>
        <w:pStyle w:val="ListBullet"/>
      </w:pPr>
      <w:r>
        <w:t xml:space="preserve">8. </w:t>
      </w:r>
      <w:r>
        <w:t xml:space="preserve">Liquidation or dissolution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BOARD OF DIRECTORS</w:t>
      </w:r>
    </w:p>
    <w:p>
      <w:pPr>
        <w:spacing w:after="0" w:line="120" w:lineRule="auto"/>
      </w:pPr>
    </w:p>
    <w:p>
      <w:r>
        <w:rPr>
          <w:b/>
        </w:rPr>
        <w:t xml:space="preserve">Composition:</w:t>
      </w:r>
      <w:r>
        <w:t xml:space="preserve"> The Board shall be expanded to seven (7) members:</w:t>
      </w:r>
    </w:p>
    <w:p>
      <w:pPr>
        <w:pStyle w:val="ListBullet"/>
      </w:pPr>
      <w:r>
        <w:t xml:space="preserve">• </w:t>
      </w:r>
      <w:r>
        <w:t xml:space="preserve">Two (2) designated by General Atlantic</w:t>
      </w:r>
    </w:p>
    <w:p>
      <w:pPr>
        <w:pStyle w:val="ListBullet"/>
      </w:pPr>
      <w:r>
        <w:t xml:space="preserve">• </w:t>
      </w:r>
      <w:r>
        <w:t xml:space="preserve">One (1) designated by Bessemer Venture Partners (continuing from Series A)</w:t>
      </w:r>
    </w:p>
    <w:p>
      <w:pPr>
        <w:pStyle w:val="ListBullet"/>
      </w:pPr>
      <w:r>
        <w:t xml:space="preserve">• </w:t>
      </w:r>
      <w:r>
        <w:t xml:space="preserve">Two (2) designated by the Common Stock holders (CEO and one founder)</w:t>
      </w:r>
    </w:p>
    <w:p>
      <w:pPr>
        <w:pStyle w:val="ListBullet"/>
      </w:pPr>
      <w:r>
        <w:t xml:space="preserve">• </w:t>
      </w:r>
      <w:r>
        <w:t xml:space="preserve">Two (2) independent members jointly agreed by GA and the CEO</w:t>
      </w:r>
    </w:p>
    <w:p>
      <w:pPr>
        <w:spacing w:after="0" w:line="120" w:lineRule="auto"/>
      </w:pPr>
    </w:p>
    <w:p>
      <w:r>
        <w:rPr>
          <w:b/>
        </w:rPr>
        <w:t xml:space="preserve">Board Observer:</w:t>
      </w:r>
      <w:r>
        <w:t xml:space="preserve"> Tiger Global shall have the right to designate one Board</w:t>
      </w:r>
    </w:p>
    <w:p>
      <w:r>
        <w:t xml:space="preserve">observer who may attend all Board and committee meetings in a non-voting</w:t>
      </w:r>
    </w:p>
    <w:p>
      <w:r>
        <w:t xml:space="preserve">capacity. The observer shall receive all Board materials on the same schedule</w:t>
      </w:r>
    </w:p>
    <w:p>
      <w:r>
        <w:t xml:space="preserve">as directors. The Company may exclude the observer from discussions involving</w:t>
      </w:r>
    </w:p>
    <w:p>
      <w:r>
        <w:t xml:space="preserve">matters in which Tiger Global has a direct conflict of interest.</w:t>
      </w:r>
    </w:p>
    <w:p>
      <w:pPr>
        <w:spacing w:after="0" w:line="120" w:lineRule="auto"/>
      </w:pPr>
    </w:p>
    <w:p>
      <w:r>
        <w:rPr>
          <w:b/>
        </w:rPr>
        <w:t xml:space="preserve">Board Committees:</w:t>
      </w:r>
      <w:r>
        <w:t xml:space="preserve"> An Audit Committee and Compensation Committee shall be</w:t>
      </w:r>
    </w:p>
    <w:p>
      <w:r>
        <w:t xml:space="preserve">established, each with at least one independent director. General Atlantic</w:t>
      </w:r>
    </w:p>
    <w:p>
      <w:r>
        <w:t xml:space="preserve">shall have a seat on each committee.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INVESTOR RIGHTS</w:t>
      </w:r>
    </w:p>
    <w:p>
      <w:pPr>
        <w:spacing w:after="0" w:line="120" w:lineRule="auto"/>
      </w:pPr>
    </w:p>
    <w:p>
      <w:r>
        <w:rPr>
          <w:b/>
        </w:rPr>
        <w:t xml:space="preserve">Information Rights:</w:t>
      </w:r>
      <w:r>
        <w:t xml:space="preserve"> Monthly unaudited financial statements within 20 days</w:t>
      </w:r>
    </w:p>
    <w:p>
      <w:r>
        <w:t xml:space="preserve">of month-end. Quarterly financial statements reviewed by an independent auditor</w:t>
      </w:r>
    </w:p>
    <w:p>
      <w:r>
        <w:t xml:space="preserve">within 30 days of quarter-end. Annual audited financials (Big Four) within 75</w:t>
      </w:r>
    </w:p>
    <w:p>
      <w:r>
        <w:t xml:space="preserve">days of fiscal year-end. Annual operating budget at least 30 days prior to each</w:t>
      </w:r>
    </w:p>
    <w:p>
      <w:r>
        <w:t xml:space="preserve">fiscal year.</w:t>
      </w:r>
    </w:p>
    <w:p>
      <w:pPr>
        <w:spacing w:after="0" w:line="120" w:lineRule="auto"/>
      </w:pPr>
    </w:p>
    <w:p>
      <w:r>
        <w:rPr>
          <w:b/>
        </w:rPr>
        <w:t xml:space="preserve">Pro-Rata Rights:</w:t>
      </w:r>
      <w:r>
        <w:t xml:space="preserve"> Each Series B investor holding at least $5,000,000 of</w:t>
      </w:r>
    </w:p>
    <w:p>
      <w:r>
        <w:t xml:space="preserve">Series B Preferred shall have pro-rata rights in future equity financings.</w:t>
      </w:r>
    </w:p>
    <w:p>
      <w:pPr>
        <w:spacing w:after="0" w:line="120" w:lineRule="auto"/>
      </w:pPr>
    </w:p>
    <w:p>
      <w:r>
        <w:rPr>
          <w:b/>
        </w:rPr>
        <w:t xml:space="preserve">Super Pro-Rata Rights:</w:t>
      </w:r>
      <w:r>
        <w:t xml:space="preserve"> General Atlantic shall have the right to purchase up</w:t>
      </w:r>
    </w:p>
    <w:p>
      <w:r>
        <w:t xml:space="preserve">to 2.5x its pro rata share in any future equity financing of the Company,</w:t>
      </w:r>
    </w:p>
    <w:p>
      <w:r>
        <w:t xml:space="preserve">exercisable within 20 business days of notice. This right is personal to</w:t>
      </w:r>
    </w:p>
    <w:p>
      <w:r>
        <w:t xml:space="preserve">General Atlantic and non-transferable.</w:t>
      </w:r>
    </w:p>
    <w:p>
      <w:pPr>
        <w:spacing w:after="0" w:line="120" w:lineRule="auto"/>
      </w:pPr>
    </w:p>
    <w:p>
      <w:r>
        <w:rPr>
          <w:b/>
        </w:rPr>
        <w:t xml:space="preserve">Registration Rights:</w:t>
      </w:r>
      <w:r>
        <w:t xml:space="preserve"> Three demand registrations beginning 180 days after IPO.</w:t>
      </w:r>
    </w:p>
    <w:p>
      <w:r>
        <w:t xml:space="preserve">Unlimited piggyback registrations. S-3 registration rights when eligible.</w:t>
      </w:r>
    </w:p>
    <w:p>
      <w:r>
        <w:t xml:space="preserve">Company bears all expenses except underwriting discounts.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ADDITIONAL TERMS</w:t>
      </w:r>
    </w:p>
    <w:p>
      <w:pPr>
        <w:spacing w:after="0" w:line="120" w:lineRule="auto"/>
      </w:pPr>
    </w:p>
    <w:p>
      <w:r>
        <w:rPr>
          <w:b/>
        </w:rPr>
        <w:t xml:space="preserve">Right of First Refusal / Co-Sale:</w:t>
      </w:r>
      <w:r>
        <w:t xml:space="preserve"> Company and then Series B investors have</w:t>
      </w:r>
    </w:p>
    <w:p>
      <w:r>
        <w:t xml:space="preserve">ROFR on any secondary sale of shares by founders or employees holding more</w:t>
      </w:r>
    </w:p>
    <w:p>
      <w:r>
        <w:t xml:space="preserve">than 1% of the Company. Tag-along rights for all investors on founder sales.</w:t>
      </w:r>
    </w:p>
    <w:p>
      <w:pPr>
        <w:spacing w:after="0" w:line="120" w:lineRule="auto"/>
      </w:pPr>
    </w:p>
    <w:p>
      <w:r>
        <w:rPr>
          <w:b/>
        </w:rPr>
        <w:t xml:space="preserve">Drag-Along:</w:t>
      </w:r>
      <w:r>
        <w:t xml:space="preserve"> Holders of 60% of all outstanding shares (on an as-converted</w:t>
      </w:r>
    </w:p>
    <w:p>
      <w:r>
        <w:t xml:space="preserve">basis), including at least a majority of Series B, may compel all stockholders</w:t>
      </w:r>
    </w:p>
    <w:p>
      <w:r>
        <w:t xml:space="preserve">to approve a Company sale.</w:t>
      </w:r>
    </w:p>
    <w:p>
      <w:pPr>
        <w:spacing w:after="0" w:line="120" w:lineRule="auto"/>
      </w:pPr>
    </w:p>
    <w:p>
      <w:r>
        <w:rPr>
          <w:b/>
        </w:rPr>
        <w:t xml:space="preserve">Founder Lock-Up on IPO:</w:t>
      </w:r>
      <w:r>
        <w:t xml:space="preserve"> Each founder agrees to a mandatory lock-up of</w:t>
      </w:r>
    </w:p>
    <w:p>
      <w:r>
        <w:t xml:space="preserve">3 years from the date of an IPO, during which no founder may sell, transfer,</w:t>
      </w:r>
    </w:p>
    <w:p>
      <w:r>
        <w:t xml:space="preserve">hedge, or otherwise dispose of any shares. This exceeds the standard 180-day</w:t>
      </w:r>
    </w:p>
    <w:p>
      <w:r>
        <w:t xml:space="preserve">lock-up. After the 3-year period, founders may sell up to 25% of their holdings</w:t>
      </w:r>
    </w:p>
    <w:p>
      <w:r>
        <w:t xml:space="preserve">per quarter. The lock-up may be waived by written consent of holders of 60% of</w:t>
      </w:r>
    </w:p>
    <w:p>
      <w:r>
        <w:t xml:space="preserve">Series B Preferred.</w:t>
      </w:r>
    </w:p>
    <w:p>
      <w:pPr>
        <w:spacing w:after="0" w:line="120" w:lineRule="auto"/>
      </w:pPr>
    </w:p>
    <w:p>
      <w:r>
        <w:rPr>
          <w:b/>
        </w:rPr>
        <w:t xml:space="preserve">No-Shop / Exclusivity:</w:t>
      </w:r>
      <w:r>
        <w:t xml:space="preserve"> 60 days from the date of this Term Sheet. Company</w:t>
      </w:r>
    </w:p>
    <w:p>
      <w:r>
        <w:t xml:space="preserve">may engage in discussions with existing investors regarding this round.</w:t>
      </w:r>
    </w:p>
    <w:p>
      <w:pPr>
        <w:spacing w:after="0" w:line="120" w:lineRule="auto"/>
      </w:pPr>
    </w:p>
    <w:p>
      <w:r>
        <w:rPr>
          <w:b/>
        </w:rPr>
        <w:t xml:space="preserve">Founder Vesting:</w:t>
      </w:r>
      <w:r>
        <w:t xml:space="preserve"> Existing unvested founder shares continue on current</w:t>
      </w:r>
    </w:p>
    <w:p>
      <w:r>
        <w:t xml:space="preserve">schedule. No re-vesting required. Standard double-trigger acceleration: upon</w:t>
      </w:r>
    </w:p>
    <w:p>
      <w:r>
        <w:t xml:space="preserve">(i) Change of Control plus (ii) involuntary termination within 12 months, 100%</w:t>
      </w:r>
    </w:p>
    <w:p>
      <w:r>
        <w:t xml:space="preserve">of unvested shares vest.</w:t>
      </w:r>
    </w:p>
    <w:p>
      <w:pPr>
        <w:spacing w:after="0" w:line="120" w:lineRule="auto"/>
      </w:pPr>
    </w:p>
    <w:p>
      <w:r>
        <w:rPr>
          <w:b/>
        </w:rPr>
        <w:t xml:space="preserve">Key Person Provision:</w:t>
      </w:r>
      <w:r>
        <w:t xml:space="preserve"> If either Dr. Priya Sharma (CEO) or David Kim (CTO)</w:t>
      </w:r>
    </w:p>
    <w:p>
      <w:r>
        <w:t xml:space="preserve">ceases to be a full-time employee within the first 24 months after Closing, the</w:t>
      </w:r>
    </w:p>
    <w:p>
      <w:r>
        <w:t xml:space="preserve">holders of a majority of Series B Preferred shall have the right to appoint a</w:t>
      </w:r>
    </w:p>
    <w:p>
      <w:r>
        <w:t xml:space="preserve">replacement CEO or CTO (as applicable) until the Board acts.</w:t>
      </w:r>
    </w:p>
    <w:p>
      <w:pPr>
        <w:spacing w:after="0" w:line="120" w:lineRule="auto"/>
      </w:pPr>
    </w:p>
    <w:p>
      <w:r>
        <w:rPr>
          <w:b/>
        </w:rPr>
        <w:t xml:space="preserve">Employee Matters:</w:t>
      </w:r>
    </w:p>
    <w:p>
      <w:pPr>
        <w:pStyle w:val="ListBullet"/>
      </w:pPr>
      <w:r>
        <w:t xml:space="preserve">• </w:t>
      </w:r>
      <w:r>
        <w:t xml:space="preserve">All employees to sign CIIAs</w:t>
      </w:r>
    </w:p>
    <w:p>
      <w:pPr>
        <w:pStyle w:val="ListBullet"/>
      </w:pPr>
      <w:r>
        <w:t xml:space="preserve">• </w:t>
      </w:r>
      <w:r>
        <w:t xml:space="preserve">Standard 90-day post-termination exercise period</w:t>
      </w:r>
    </w:p>
    <w:p>
      <w:pPr>
        <w:pStyle w:val="ListBullet"/>
      </w:pPr>
      <w:r>
        <w:t xml:space="preserve">• </w:t>
      </w:r>
      <w:r>
        <w:t xml:space="preserve">Existing Series A employee terms unmodified</w:t>
      </w:r>
    </w:p>
    <w:p>
      <w:pPr>
        <w:spacing w:after="0" w:line="120" w:lineRule="auto"/>
      </w:pPr>
    </w:p>
    <w:p>
      <w:r>
        <w:rPr>
          <w:b/>
        </w:rPr>
        <w:t xml:space="preserve">Expenses:</w:t>
      </w:r>
      <w:r>
        <w:t xml:space="preserve"> Company to pay legal fees of General Atlantic (capped at $65,000)</w:t>
      </w:r>
    </w:p>
    <w:p>
      <w:r>
        <w:t xml:space="preserve">and Tiger Global (capped at $35,000), totaling a maximum of $100,000.</w:t>
      </w:r>
    </w:p>
    <w:p>
      <w:pPr>
        <w:spacing w:after="0" w:line="120" w:lineRule="auto"/>
      </w:pPr>
    </w:p>
    <w:p>
      <w:r>
        <w:rPr>
          <w:b/>
        </w:rPr>
        <w:t xml:space="preserve">Closing Conditions:</w:t>
      </w:r>
    </w:p>
    <w:p>
      <w:pPr>
        <w:pStyle w:val="ListBullet"/>
      </w:pPr>
      <w:r>
        <w:t xml:space="preserve">• </w:t>
      </w:r>
      <w:r>
        <w:t xml:space="preserve">Completion of legal, financial, commercial, and IP due diligence</w:t>
      </w:r>
    </w:p>
    <w:p>
      <w:pPr>
        <w:pStyle w:val="ListBullet"/>
      </w:pPr>
      <w:r>
        <w:t xml:space="preserve">• </w:t>
      </w:r>
      <w:r>
        <w:t xml:space="preserve">Receipt of FDA regulatory opinion letter regarding Company's AI documentation</w:t>
      </w:r>
    </w:p>
    <w:p>
      <w:r>
        <w:t xml:space="preserve">platform (Class I exempt status confirmation)</w:t>
      </w:r>
    </w:p>
    <w:p>
      <w:pPr>
        <w:pStyle w:val="ListBullet"/>
      </w:pPr>
      <w:r>
        <w:t xml:space="preserve">• </w:t>
      </w:r>
      <w:r>
        <w:t xml:space="preserve">Key person insurance of $10,000,000 on CEO and CTO</w:t>
      </w:r>
    </w:p>
    <w:p>
      <w:pPr>
        <w:pStyle w:val="ListBullet"/>
      </w:pPr>
      <w:r>
        <w:t xml:space="preserve">• </w:t>
      </w:r>
      <w:r>
        <w:t xml:space="preserve">Board-approved 2026 operating plan</w:t>
      </w:r>
    </w:p>
    <w:p>
      <w:pPr>
        <w:pStyle w:val="ListBullet"/>
      </w:pPr>
      <w:r>
        <w:t xml:space="preserve">• </w:t>
      </w:r>
      <w:r>
        <w:t xml:space="preserve">Execution of IRA, Voting Agreement, and ROFR/Co-Sale Agreement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r>
        <w:rPr>
          <w:i/>
        </w:rPr>
        <w:t xml:space="preserve">This Term Sheet is governed by the laws of the State of Delaware.</w:t>
      </w:r>
    </w:p>
    <w:p>
      <w:pPr>
        <w:spacing w:after="0" w:line="120" w:lineRule="auto"/>
      </w:pPr>
    </w:p>
    <w:p>
      <w:r>
        <w:rPr>
          <w:b/>
        </w:rPr>
        <w:t xml:space="preserve">AGREED AND ACCEPTED:</w:t>
      </w:r>
    </w:p>
    <w:p>
      <w:pPr>
        <w:spacing w:after="0" w:line="120" w:lineRule="auto"/>
      </w:pPr>
    </w:p>
    <w:p>
      <w:r>
        <w:t xml:space="preserve">MedScribe AI, Inc.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Dr. Priya Sharma, CEO &amp; Co-Founder</w:t>
      </w:r>
    </w:p>
    <w:p>
      <w:r>
        <w:t xml:space="preserve">Date: November __, 2025</w:t>
      </w:r>
    </w:p>
    <w:p>
      <w:pPr>
        <w:spacing w:after="0" w:line="120" w:lineRule="auto"/>
      </w:pPr>
    </w:p>
    <w:p>
      <w:r>
        <w:t xml:space="preserve">General Atlantic Partners 100, L.P.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Anton Levy, Managing Director</w:t>
      </w:r>
    </w:p>
    <w:p>
      <w:r>
        <w:t xml:space="preserve">Date: November __, 2025</w:t>
      </w:r>
    </w:p>
    <w:p>
      <w:pPr>
        <w:spacing w:after="0" w:line="120" w:lineRule="auto"/>
      </w:pPr>
    </w:p>
    <w:p>
      <w:r>
        <w:t xml:space="preserve">Tiger Global Private Investment Partners XVI, L.P.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Scott Shleifer, Partner</w:t>
      </w:r>
    </w:p>
    <w:p>
      <w:r>
        <w:t xml:space="preserve">Date: November __, 2025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