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TERM SHEET</w:t>
      </w:r>
    </w:p>
    <w:p>
      <w:pPr>
        <w:pStyle w:val="Heading2"/>
      </w:pPr>
      <w:r>
        <w:t xml:space="preserve">Series A Preferred Stock Financing of NovaByte, Inc.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September 8, 2025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summarizes the principal terms of the Series A Preferred Stock</w:t>
      </w:r>
    </w:p>
    <w:p>
      <w:r>
        <w:t xml:space="preserve">Financing of NovaByte, Inc., a Delaware corporation (the "Company"). Except for</w:t>
      </w:r>
    </w:p>
    <w:p>
      <w:r>
        <w:t xml:space="preserve">the sections entitled "No-Shop," "Confidentiality," and "Expenses," this term</w:t>
      </w:r>
    </w:p>
    <w:p>
      <w:r>
        <w:t xml:space="preserve">sheet is non-binding and does not constitute an obligation of either party.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Series A Preferred Stock (the "Series A Preferred")</w:t>
      </w:r>
    </w:p>
    <w:p>
      <w:pPr>
        <w:spacing w:after="0" w:line="120" w:lineRule="auto"/>
      </w:pPr>
    </w:p>
    <w:p>
      <w:r>
        <w:rPr>
          <w:b/>
        </w:rPr>
        <w:t xml:space="preserve">Closing Date:</w:t>
      </w:r>
      <w:r>
        <w:t xml:space="preserve"> On or before October 31, 2025</w:t>
      </w:r>
    </w:p>
    <w:p>
      <w:pPr>
        <w:spacing w:after="0" w:line="120" w:lineRule="auto"/>
      </w:pPr>
    </w:p>
    <w:p>
      <w:r>
        <w:rPr>
          <w:b/>
        </w:rPr>
        <w:t xml:space="preserve">Amount Raised:</w:t>
      </w:r>
      <w:r>
        <w:t xml:space="preserve"> $12,000,000</w:t>
      </w:r>
    </w:p>
    <w:p>
      <w:pPr>
        <w:spacing w:after="0" w:line="120" w:lineRule="auto"/>
      </w:pPr>
    </w:p>
    <w:p>
      <w:r>
        <w:rPr>
          <w:b/>
        </w:rPr>
        <w:t xml:space="preserve">Pre-Money Valuation:</w:t>
      </w:r>
      <w:r>
        <w:t xml:space="preserve"> $50,000,000 (fully diluted, including the option pool</w:t>
      </w:r>
    </w:p>
    <w:p>
      <w:r>
        <w:t xml:space="preserve">increase described below)</w:t>
      </w:r>
    </w:p>
    <w:p>
      <w:pPr>
        <w:spacing w:after="0" w:line="120" w:lineRule="auto"/>
      </w:pPr>
    </w:p>
    <w:p>
      <w:r>
        <w:rPr>
          <w:b/>
        </w:rPr>
        <w:t xml:space="preserve">Price Per Share:</w:t>
      </w:r>
      <w:r>
        <w:t xml:space="preserve"> $3.125 per share (based on 16,000,000 fully diluted shares</w:t>
      </w:r>
    </w:p>
    <w:p>
      <w:r>
        <w:t xml:space="preserve">outstanding pre-money)</w:t>
      </w:r>
    </w:p>
    <w:p>
      <w:pPr>
        <w:spacing w:after="0" w:line="120" w:lineRule="auto"/>
      </w:pPr>
    </w:p>
    <w:p>
      <w:r>
        <w:rPr>
          <w:b/>
        </w:rPr>
        <w:t xml:space="preserve">Post-Money Valuation:</w:t>
      </w:r>
      <w:r>
        <w:t xml:space="preserve"> $62,000,000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Shares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Benchmark Capital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2,880,000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FelicisX Partners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640,000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Jason Lemkin (individual)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320,000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**$12,000,000**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**3,840,000**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Capitalization Pre-Financing:</w:t>
      </w:r>
    </w:p>
    <w:p>
      <w:pPr>
        <w:pStyle w:val="ListBullet"/>
      </w:pPr>
      <w:r>
        <w:t xml:space="preserve">• </w:t>
      </w:r>
      <w:r>
        <w:t xml:space="preserve">Founders (3 individuals): 10,400,000 shares (65.0%)</w:t>
      </w:r>
    </w:p>
    <w:p>
      <w:pPr>
        <w:pStyle w:val="ListBullet"/>
      </w:pPr>
      <w:r>
        <w:t xml:space="preserve">• </w:t>
      </w:r>
      <w:r>
        <w:t xml:space="preserve">Employee Option Pool (issued): 2,240,000 shares (14.0%)</w:t>
      </w:r>
    </w:p>
    <w:p>
      <w:pPr>
        <w:pStyle w:val="ListBullet"/>
      </w:pPr>
      <w:r>
        <w:t xml:space="preserve">• </w:t>
      </w:r>
      <w:r>
        <w:t xml:space="preserve">Advisor Grants: 160,000 shares (1.0%)</w:t>
      </w:r>
    </w:p>
    <w:p>
      <w:pPr>
        <w:pStyle w:val="ListBullet"/>
      </w:pPr>
      <w:r>
        <w:t xml:space="preserve">• </w:t>
      </w:r>
      <w:r>
        <w:t xml:space="preserve">Unallocated Option Pool: 3,200,000 shares (20.0%)</w:t>
      </w:r>
    </w:p>
    <w:p>
      <w:pPr>
        <w:spacing w:after="0" w:line="120" w:lineRule="auto"/>
      </w:pPr>
    </w:p>
    <w:p>
      <w:r>
        <w:rPr>
          <w:b/>
        </w:rPr>
        <w:t xml:space="preserve">Option Pool:</w:t>
      </w:r>
      <w:r>
        <w:t xml:space="preserve"> The unallocated pool shall equal 20% of post-financing fully</w:t>
      </w:r>
    </w:p>
    <w:p>
      <w:r>
        <w:t xml:space="preserve">diluted shares. Any increase shall come from the pre-money capitalization.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CHARTER PROVISIONS</w:t>
      </w:r>
    </w:p>
    <w:p>
      <w:pPr>
        <w:spacing w:after="0" w:line="120" w:lineRule="auto"/>
      </w:pPr>
    </w:p>
    <w:p>
      <w:r>
        <w:rPr>
          <w:b/>
        </w:rPr>
        <w:t xml:space="preserve">Dividends:</w:t>
      </w:r>
      <w:r>
        <w:t xml:space="preserve"> Cumulative dividends at 8% per annum, compounding annually,</w:t>
      </w:r>
    </w:p>
    <w:p>
      <w:r>
        <w:t xml:space="preserve">payable upon a Liquidation Event or redemption. Holders also participate in</w:t>
      </w:r>
    </w:p>
    <w:p>
      <w:r>
        <w:t xml:space="preserve">dividends declared on Common Stock on an as-converted basis.</w:t>
      </w:r>
    </w:p>
    <w:p>
      <w:pPr>
        <w:spacing w:after="0" w:line="120" w:lineRule="auto"/>
      </w:pPr>
    </w:p>
    <w:p>
      <w:r>
        <w:rPr>
          <w:b/>
        </w:rPr>
        <w:t xml:space="preserve">Liquidation Preference:</w:t>
      </w:r>
      <w:r>
        <w:t xml:space="preserve"> 1.5x participating preferred. In any Liquidation</w:t>
      </w:r>
    </w:p>
    <w:p>
      <w:r>
        <w:t xml:space="preserve">Event, holders of Series A Preferred shall receive 1.5 times the Original</w:t>
      </w:r>
    </w:p>
    <w:p>
      <w:r>
        <w:t xml:space="preserve">Purchase Price plus any accrued but unpaid dividends before any distribution to</w:t>
      </w:r>
    </w:p>
    <w:p>
      <w:r>
        <w:t xml:space="preserve">Common Stock. After payment of the Liquidation Preference, Series A Preferred</w:t>
      </w:r>
    </w:p>
    <w:p>
      <w:r>
        <w:t xml:space="preserve">shall participate pro rata with Common Stock on an as-converted basis until</w:t>
      </w:r>
    </w:p>
    <w:p>
      <w:r>
        <w:t xml:space="preserve">holders have received an aggregate of 3.0x the Original Purchase Price (the</w:t>
      </w:r>
    </w:p>
    <w:p>
      <w:r>
        <w:t xml:space="preserve">"Participation Cap"), after which Series A Preferred ceases to participate and</w:t>
      </w:r>
    </w:p>
    <w:p>
      <w:r>
        <w:t xml:space="preserve">Common Stock receives all remaining proceeds.</w:t>
      </w:r>
    </w:p>
    <w:p>
      <w:pPr>
        <w:spacing w:after="0" w:line="120" w:lineRule="auto"/>
      </w:pPr>
    </w:p>
    <w:p>
      <w:r>
        <w:rPr>
          <w:b/>
        </w:rPr>
        <w:t xml:space="preserve">Anti-Dilution:</w:t>
      </w:r>
      <w:r>
        <w:t xml:space="preserve"> Full ratchet anti-dilution protection. If the Company issues</w:t>
      </w:r>
    </w:p>
    <w:p>
      <w:r>
        <w:t xml:space="preserve">shares at a price below the then-effective conversion price, the conversion price</w:t>
      </w:r>
    </w:p>
    <w:p>
      <w:r>
        <w:t xml:space="preserve">shall be reduced to the price of the new issuance, without regard to the number</w:t>
      </w:r>
    </w:p>
    <w:p>
      <w:r>
        <w:t xml:space="preserve">of shares issued. Standard carve-outs for employee incentive grants, strategic</w:t>
      </w:r>
    </w:p>
    <w:p>
      <w:r>
        <w:t xml:space="preserve">partnerships approved by the Board, and conversion of outstanding convertible</w:t>
      </w:r>
    </w:p>
    <w:p>
      <w:r>
        <w:t xml:space="preserve">instruments.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Each share of Series A Preferred is convertible at any time into</w:t>
      </w:r>
    </w:p>
    <w:p>
      <w:r>
        <w:t xml:space="preserve">Common Stock at the then-effective conversion ratio (initially 1:1).</w:t>
      </w:r>
    </w:p>
    <w:p>
      <w:pPr>
        <w:spacing w:after="0" w:line="120" w:lineRule="auto"/>
      </w:pPr>
    </w:p>
    <w:p>
      <w:r>
        <w:rPr>
          <w:b/>
        </w:rPr>
        <w:t xml:space="preserve">Automatic Conversion:</w:t>
      </w:r>
      <w:r>
        <w:t xml:space="preserve"> Series A Preferred converts automatically upon (i) a</w:t>
      </w:r>
    </w:p>
    <w:p>
      <w:r>
        <w:t xml:space="preserve">Qualified IPO with gross proceeds of at least $75,000,000 and a per-share price</w:t>
      </w:r>
    </w:p>
    <w:p>
      <w:r>
        <w:t xml:space="preserve">of at least 3x the Original Purchase Price, or (ii) written consent of holders</w:t>
      </w:r>
    </w:p>
    <w:p>
      <w:r>
        <w:t xml:space="preserve">of 70% of outstanding Series A Preferred.</w:t>
      </w:r>
    </w:p>
    <w:p>
      <w:pPr>
        <w:spacing w:after="0" w:line="120" w:lineRule="auto"/>
      </w:pPr>
    </w:p>
    <w:p>
      <w:r>
        <w:rPr>
          <w:b/>
        </w:rPr>
        <w:t xml:space="preserve">Voting Rights:</w:t>
      </w:r>
      <w:r>
        <w:t xml:space="preserve"> Series A Preferred votes with Common Stock on an as-converted</w:t>
      </w:r>
    </w:p>
    <w:p>
      <w:r>
        <w:t xml:space="preserve">basis. Protective provisions require consent of holders of at least 60% of</w:t>
      </w:r>
    </w:p>
    <w:p>
      <w:r>
        <w:t xml:space="preserve">outstanding Series A Preferred for:</w:t>
      </w:r>
    </w:p>
    <w:p>
      <w:pPr>
        <w:pStyle w:val="ListBullet"/>
      </w:pPr>
      <w:r>
        <w:t xml:space="preserve">1. </w:t>
      </w:r>
      <w:r>
        <w:t xml:space="preserve">Amending the Certificate of Incorporation or Bylaws in a manner adverse to Series A</w:t>
      </w:r>
    </w:p>
    <w:p>
      <w:pPr>
        <w:pStyle w:val="ListBullet"/>
      </w:pPr>
      <w:r>
        <w:t xml:space="preserve">2. </w:t>
      </w:r>
      <w:r>
        <w:t xml:space="preserve">Authorizing or issuing equity securities senior to or on parity with Series A</w:t>
      </w:r>
    </w:p>
    <w:p>
      <w:pPr>
        <w:pStyle w:val="ListBullet"/>
      </w:pPr>
      <w:r>
        <w:t xml:space="preserve">3. </w:t>
      </w:r>
      <w:r>
        <w:t xml:space="preserve">Any merger, acquisition, asset sale, or change of control</w:t>
      </w:r>
    </w:p>
    <w:p>
      <w:pPr>
        <w:pStyle w:val="ListBullet"/>
      </w:pPr>
      <w:r>
        <w:t xml:space="preserve">4. </w:t>
      </w:r>
      <w:r>
        <w:t xml:space="preserve">Any redemption or repurchase of equity (other than at-cost repurchases from terminated employees)</w:t>
      </w:r>
    </w:p>
    <w:p>
      <w:pPr>
        <w:pStyle w:val="ListBullet"/>
      </w:pPr>
      <w:r>
        <w:t xml:space="preserve">5. </w:t>
      </w:r>
      <w:r>
        <w:t xml:space="preserve">Declaration of any dividend</w:t>
      </w:r>
    </w:p>
    <w:p>
      <w:pPr>
        <w:pStyle w:val="ListBullet"/>
      </w:pPr>
      <w:r>
        <w:t xml:space="preserve">6. </w:t>
      </w:r>
      <w:r>
        <w:t xml:space="preserve">Increasing or decreasing authorized shares</w:t>
      </w:r>
    </w:p>
    <w:p>
      <w:pPr>
        <w:pStyle w:val="ListBullet"/>
      </w:pPr>
      <w:r>
        <w:t xml:space="preserve">7. </w:t>
      </w:r>
      <w:r>
        <w:t xml:space="preserve">Incurrence of indebtedness exceeding $250,000 in the aggregate</w:t>
      </w:r>
    </w:p>
    <w:p>
      <w:pPr>
        <w:pStyle w:val="ListBullet"/>
      </w:pPr>
      <w:r>
        <w:t xml:space="preserve">8. </w:t>
      </w:r>
      <w:r>
        <w:t xml:space="preserve">Any related-party transaction with a founder, officer, director, or 5%+ stockholder</w:t>
      </w:r>
    </w:p>
    <w:p>
      <w:pPr>
        <w:pStyle w:val="ListBullet"/>
      </w:pPr>
      <w:r>
        <w:t xml:space="preserve">9. </w:t>
      </w:r>
      <w:r>
        <w:t xml:space="preserve">Any change to the size or composition of the Board</w:t>
      </w:r>
    </w:p>
    <w:p>
      <w:pPr>
        <w:pStyle w:val="ListBullet"/>
      </w:pPr>
      <w:r>
        <w:t xml:space="preserve">10. </w:t>
      </w:r>
      <w:r>
        <w:t xml:space="preserve">Entry into any new line of business or material modification to existing business</w:t>
      </w:r>
    </w:p>
    <w:p>
      <w:pPr>
        <w:spacing w:after="0" w:line="120" w:lineRule="auto"/>
      </w:pPr>
    </w:p>
    <w:p>
      <w:r>
        <w:rPr>
          <w:b/>
        </w:rPr>
        <w:t xml:space="preserve">Redemption:</w:t>
      </w:r>
      <w:r>
        <w:t xml:space="preserve"> Beginning on the 5th anniversary of the Closing, holders of a</w:t>
      </w:r>
    </w:p>
    <w:p>
      <w:r>
        <w:t xml:space="preserve">majority of the Series A Preferred may require the Company to redeem all</w:t>
      </w:r>
    </w:p>
    <w:p>
      <w:r>
        <w:t xml:space="preserve">outstanding Series A Preferred in three equal annual installments at 1.5x the</w:t>
      </w:r>
    </w:p>
    <w:p>
      <w:r>
        <w:t xml:space="preserve">Original Purchase Price plus all accrued and unpaid dividends.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BOARD OF DIRECTORS</w:t>
      </w:r>
    </w:p>
    <w:p>
      <w:pPr>
        <w:spacing w:after="0" w:line="120" w:lineRule="auto"/>
      </w:pPr>
    </w:p>
    <w:p>
      <w:r>
        <w:rPr>
          <w:b/>
        </w:rPr>
        <w:t xml:space="preserve">Composition:</w:t>
      </w:r>
      <w:r>
        <w:t xml:space="preserve"> The Board shall consist of five (5) members:</w:t>
      </w:r>
    </w:p>
    <w:p>
      <w:pPr>
        <w:pStyle w:val="ListBullet"/>
      </w:pPr>
      <w:r>
        <w:t xml:space="preserve">• </w:t>
      </w:r>
      <w:r>
        <w:t xml:space="preserve">Two (2) designated by Benchmark Capital as lead investor</w:t>
      </w:r>
    </w:p>
    <w:p>
      <w:pPr>
        <w:pStyle w:val="ListBullet"/>
      </w:pPr>
      <w:r>
        <w:t xml:space="preserve">• </w:t>
      </w:r>
      <w:r>
        <w:t xml:space="preserve">One (1) who is the Company's Chief Executive Officer</w:t>
      </w:r>
    </w:p>
    <w:p>
      <w:pPr>
        <w:pStyle w:val="ListBullet"/>
      </w:pPr>
      <w:r>
        <w:t xml:space="preserve">• </w:t>
      </w:r>
      <w:r>
        <w:t xml:space="preserve">One (1) designated by the holders of Common Stock (may not be an employee)</w:t>
      </w:r>
    </w:p>
    <w:p>
      <w:pPr>
        <w:pStyle w:val="ListBullet"/>
      </w:pPr>
      <w:r>
        <w:t xml:space="preserve">• </w:t>
      </w:r>
      <w:r>
        <w:t xml:space="preserve">One (1) independent member mutually agreed upon by Benchmark and the CEO,</w:t>
      </w:r>
    </w:p>
    <w:p>
      <w:r>
        <w:t xml:space="preserve">provided that if the parties cannot agree within 60 days of Closing, Benchmark</w:t>
      </w:r>
    </w:p>
    <w:p>
      <w:r>
        <w:t xml:space="preserve">shall have the right to designate this seat</w:t>
      </w:r>
    </w:p>
    <w:p>
      <w:pPr>
        <w:spacing w:after="0" w:line="120" w:lineRule="auto"/>
      </w:pPr>
    </w:p>
    <w:p>
      <w:r>
        <w:rPr>
          <w:b/>
        </w:rPr>
        <w:t xml:space="preserve">Board Matters:</w:t>
      </w:r>
      <w:r>
        <w:t xml:space="preserve"> Each Board member shall receive D&amp;O insurance with coverage</w:t>
      </w:r>
    </w:p>
    <w:p>
      <w:r>
        <w:t xml:space="preserve">of at least $5,000,000. Board meetings shall occur no less than quarterly.</w:t>
      </w:r>
    </w:p>
    <w:p>
      <w:r>
        <w:t xml:space="preserve">Benchmark shall have the right to appoint one Board observer in addition to its</w:t>
      </w:r>
    </w:p>
    <w:p>
      <w:r>
        <w:t xml:space="preserve">two designated seats.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INVESTOR RIGHTS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Quarterly unaudited financial statements within 30 days</w:t>
      </w:r>
    </w:p>
    <w:p>
      <w:r>
        <w:t xml:space="preserve">of quarter-end. Annual audited financials (Big Four firm) within 90 days of</w:t>
      </w:r>
    </w:p>
    <w:p>
      <w:r>
        <w:t xml:space="preserve">fiscal year-end. Monthly management dashboards including revenue, burn rate,</w:t>
      </w:r>
    </w:p>
    <w:p>
      <w:r>
        <w:t xml:space="preserve">headcount, and pipeline metrics within 15 days of month-end. Annual budget and</w:t>
      </w:r>
    </w:p>
    <w:p>
      <w:r>
        <w:t xml:space="preserve">operating plan at least 30 days before each fiscal year.</w:t>
      </w:r>
    </w:p>
    <w:p>
      <w:pPr>
        <w:spacing w:after="0" w:line="120" w:lineRule="auto"/>
      </w:pPr>
    </w:p>
    <w:p>
      <w:r>
        <w:rPr>
          <w:b/>
        </w:rPr>
        <w:t xml:space="preserve">Pro-Rata Rights:</w:t>
      </w:r>
      <w:r>
        <w:t xml:space="preserve"> Each Major Investor (holding at least $2,000,000 of</w:t>
      </w:r>
    </w:p>
    <w:p>
      <w:r>
        <w:t xml:space="preserve">Series A Preferred) shall have the right to purchase its pro rata share of</w:t>
      </w:r>
    </w:p>
    <w:p>
      <w:r>
        <w:t xml:space="preserve">subsequent equity issuances. Benchmark Capital shall additionally have a</w:t>
      </w:r>
    </w:p>
    <w:p>
      <w:r>
        <w:t xml:space="preserve">super pro-rata right to purchase up to 2x its pro rata share.</w:t>
      </w:r>
    </w:p>
    <w:p>
      <w:pPr>
        <w:spacing w:after="0" w:line="120" w:lineRule="auto"/>
      </w:pPr>
    </w:p>
    <w:p>
      <w:r>
        <w:rPr>
          <w:b/>
        </w:rPr>
        <w:t xml:space="preserve">Registration Rights:</w:t>
      </w:r>
      <w:r>
        <w:t xml:space="preserve"> Two demand registrations beginning 4 years after</w:t>
      </w:r>
    </w:p>
    <w:p>
      <w:r>
        <w:t xml:space="preserve">Closing or 180 days after IPO, whichever is earlier. Unlimited piggyback rights.</w:t>
      </w:r>
    </w:p>
    <w:p>
      <w:r>
        <w:t xml:space="preserve">S-3 registration rights when eligible. Company bears all expenses except</w:t>
      </w:r>
    </w:p>
    <w:p>
      <w:r>
        <w:t xml:space="preserve">underwriting discounts and selling commissions.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Right of First Refusal / Co-Sale:</w:t>
      </w:r>
      <w:r>
        <w:t xml:space="preserve"> Company and then investors have ROFR on</w:t>
      </w:r>
    </w:p>
    <w:p>
      <w:r>
        <w:t xml:space="preserve">any transfer of founder shares. Investors have tag-along rights on founder sales.</w:t>
      </w:r>
    </w:p>
    <w:p>
      <w:pPr>
        <w:spacing w:after="0" w:line="120" w:lineRule="auto"/>
      </w:pPr>
    </w:p>
    <w:p>
      <w:r>
        <w:rPr>
          <w:b/>
        </w:rPr>
        <w:t xml:space="preserve">Drag-Along:</w:t>
      </w:r>
      <w:r>
        <w:t xml:space="preserve"> Holders of 60% of Common Stock (on an as-converted basis), with</w:t>
      </w:r>
    </w:p>
    <w:p>
      <w:r>
        <w:t xml:space="preserve">approval of Benchmark, may compel all stockholders to approve a sale of the</w:t>
      </w:r>
    </w:p>
    <w:p>
      <w:r>
        <w:t xml:space="preserve">Company, provided the transaction values Series A Preferred at no less than</w:t>
      </w:r>
    </w:p>
    <w:p>
      <w:r>
        <w:t xml:space="preserve">1.5x the Original Purchase Price.</w:t>
      </w:r>
    </w:p>
    <w:p>
      <w:pPr>
        <w:spacing w:after="0" w:line="120" w:lineRule="auto"/>
      </w:pPr>
    </w:p>
    <w:p>
      <w:r>
        <w:rPr>
          <w:b/>
        </w:rPr>
        <w:t xml:space="preserve">No-Shop / Exclusivity:</w:t>
      </w:r>
      <w:r>
        <w:t xml:space="preserve"> For a period of 90 days from execution of this Term</w:t>
      </w:r>
    </w:p>
    <w:p>
      <w:r>
        <w:t xml:space="preserve">Sheet, the Company shall not directly or indirectly solicit, encourage, negotiate,</w:t>
      </w:r>
    </w:p>
    <w:p>
      <w:r>
        <w:t xml:space="preserve">or enter into any agreement regarding an Alternative Transaction, defined as</w:t>
      </w:r>
    </w:p>
    <w:p>
      <w:r>
        <w:t xml:space="preserve">any equity financing, debt financing exceeding $250,000, merger, acquisition,</w:t>
      </w:r>
    </w:p>
    <w:p>
      <w:r>
        <w:t xml:space="preserve">or sale of material assets. The Company shall notify Benchmark within 24 hours</w:t>
      </w:r>
    </w:p>
    <w:p>
      <w:r>
        <w:t xml:space="preserve">of any unsolicited inquiry regarding an Alternative Transaction.</w:t>
      </w:r>
    </w:p>
    <w:p>
      <w:pPr>
        <w:spacing w:after="0" w:line="120" w:lineRule="auto"/>
      </w:pPr>
    </w:p>
    <w:p>
      <w:r>
        <w:rPr>
          <w:b/>
        </w:rPr>
        <w:t xml:space="preserve">Non-Compete:</w:t>
      </w:r>
      <w:r>
        <w:t xml:space="preserve"> Each founder agrees that for 24 months following termination</w:t>
      </w:r>
    </w:p>
    <w:p>
      <w:r>
        <w:t xml:space="preserve">of employment (whether voluntary or involuntary), they will not directly or</w:t>
      </w:r>
    </w:p>
    <w:p>
      <w:r>
        <w:t xml:space="preserve">indirectly engage in, own, manage, or participate in any business that competes</w:t>
      </w:r>
    </w:p>
    <w:p>
      <w:r>
        <w:t xml:space="preserve">with the Company's core markets (cloud data synchronization and ETL tooling)</w:t>
      </w:r>
    </w:p>
    <w:p>
      <w:r>
        <w:t xml:space="preserve">within the United States. This obligation survives any termination regardless</w:t>
      </w:r>
    </w:p>
    <w:p>
      <w:r>
        <w:t xml:space="preserve">of cause.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All founder shares shall be subject to 4-year reverse</w:t>
      </w:r>
    </w:p>
    <w:p>
      <w:r>
        <w:t xml:space="preserve">vesting with a 1-year cliff from the Closing Date, with 25% vesting at the</w:t>
      </w:r>
    </w:p>
    <w:p>
      <w:r>
        <w:t xml:space="preserve">cliff and the remainder monthly. Prior service is not credited.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and contractors must execute CIIAs</w:t>
      </w:r>
    </w:p>
    <w:p>
      <w:pPr>
        <w:pStyle w:val="ListBullet"/>
      </w:pPr>
      <w:r>
        <w:t xml:space="preserve">• </w:t>
      </w:r>
      <w:r>
        <w:t xml:space="preserve">Standard 90-day post-termination exercise period for options</w:t>
      </w:r>
    </w:p>
    <w:p>
      <w:pPr>
        <w:pStyle w:val="ListBullet"/>
      </w:pPr>
      <w:r>
        <w:t xml:space="preserve">• </w:t>
      </w:r>
      <w:r>
        <w:t xml:space="preserve">No single-trigger acceleration for any employee</w:t>
      </w:r>
    </w:p>
    <w:p>
      <w:pPr>
        <w:pStyle w:val="ListBullet"/>
      </w:pPr>
      <w:r>
        <w:t xml:space="preserve">• </w:t>
      </w:r>
      <w:r>
        <w:t xml:space="preserve">Double-trigger acceleration of 50% for C-suite officers only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shall reimburse Benchmark's legal fees up to $75,000</w:t>
      </w:r>
    </w:p>
    <w:p>
      <w:r>
        <w:t xml:space="preserve">and due diligence expenses up to $15,000, payable at Closing or upon</w:t>
      </w:r>
    </w:p>
    <w:p>
      <w:r>
        <w:t xml:space="preserve">termination of negotiations.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Satisfactory completion of legal, financial, and technical due diligence</w:t>
      </w:r>
    </w:p>
    <w:p>
      <w:pPr>
        <w:pStyle w:val="ListBullet"/>
      </w:pPr>
      <w:r>
        <w:t xml:space="preserve">• </w:t>
      </w:r>
      <w:r>
        <w:t xml:space="preserve">Receipt of audited 2024 financial statements</w:t>
      </w:r>
    </w:p>
    <w:p>
      <w:pPr>
        <w:pStyle w:val="ListBullet"/>
      </w:pPr>
      <w:r>
        <w:t xml:space="preserve">• </w:t>
      </w:r>
      <w:r>
        <w:t xml:space="preserve">Key person life insurance of $5,000,000 on CEO and CTO</w:t>
      </w:r>
    </w:p>
    <w:p>
      <w:pPr>
        <w:pStyle w:val="ListBullet"/>
      </w:pPr>
      <w:r>
        <w:t xml:space="preserve">• </w:t>
      </w:r>
      <w:r>
        <w:t xml:space="preserve">Founder employment agreements with 12-month non-solicitation clauses</w:t>
      </w:r>
    </w:p>
    <w:p>
      <w:pPr>
        <w:pStyle w:val="ListBullet"/>
      </w:pPr>
      <w:r>
        <w:t xml:space="preserve">• </w:t>
      </w:r>
      <w:r>
        <w:t xml:space="preserve">Execution of an investor rights agreement, voting agreement, and ROFR/co-sale agreement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i/>
        </w:rPr>
        <w:t xml:space="preserve">This Term Sheet is governed by the laws of the State of Delaware.</w:t>
      </w: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NovaByte,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Marcus Adeyemi, CEO</w:t>
      </w:r>
    </w:p>
    <w:p>
      <w:r>
        <w:t xml:space="preserve">Date: September __, 2025</w:t>
      </w:r>
    </w:p>
    <w:p>
      <w:pPr>
        <w:spacing w:after="0" w:line="120" w:lineRule="auto"/>
      </w:pPr>
    </w:p>
    <w:p>
      <w:r>
        <w:t xml:space="preserve">Benchmark Capital Partners IX, L.P.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Sarah Chen, General Partner</w:t>
      </w:r>
    </w:p>
    <w:p>
      <w:r>
        <w:t xml:space="preserve">Date: September __, 2025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