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TERM SHEET</w:t>
      </w:r>
    </w:p>
    <w:p>
      <w:pPr>
        <w:pStyle w:val="Heading2"/>
      </w:pPr>
      <w:r>
        <w:t xml:space="preserve">Seed Preferred Stock Financing of PayLoop, Inc.</w:t>
      </w:r>
    </w:p>
    <w:p>
      <w:pPr>
        <w:spacing w:after="0" w:line="120" w:lineRule="auto"/>
      </w:pPr>
    </w:p>
    <w:p>
      <w:r>
        <w:rPr>
          <w:b/>
        </w:rPr>
        <w:t xml:space="preserve">Date:</w:t>
      </w:r>
      <w:r>
        <w:t xml:space="preserve"> March 22, 2026</w:t>
      </w:r>
    </w:p>
    <w:p>
      <w:r>
        <w:rPr>
          <w:b/>
        </w:rPr>
        <w:t xml:space="preserve">Confidential</w:t>
      </w:r>
    </w:p>
    <w:p>
      <w:pPr>
        <w:spacing w:after="0" w:line="120" w:lineRule="auto"/>
      </w:pPr>
    </w:p>
    <w:p>
      <w:r>
        <w:t xml:space="preserve">This Term Sheet sets forth the principal terms for the Seed Preferred Stock</w:t>
      </w:r>
    </w:p>
    <w:p>
      <w:r>
        <w:t xml:space="preserve">Financing of PayLoop, Inc., a Delaware corporation ("Company"). This term sheet</w:t>
      </w:r>
    </w:p>
    <w:p>
      <w:r>
        <w:t xml:space="preserve">is non-binding except as set forth in "Exclusivity" and "Confidentiality" below.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3"/>
      </w:pPr>
      <w:r>
        <w:t xml:space="preserve">OFFERING TERMS</w:t>
      </w:r>
    </w:p>
    <w:p>
      <w:pPr>
        <w:spacing w:after="0" w:line="120" w:lineRule="auto"/>
      </w:pPr>
    </w:p>
    <w:p>
      <w:r>
        <w:rPr>
          <w:b/>
        </w:rPr>
        <w:t xml:space="preserve">Security:</w:t>
      </w:r>
      <w:r>
        <w:t xml:space="preserve"> Seed Preferred Stock (the "Seed Preferred")</w:t>
      </w:r>
    </w:p>
    <w:p>
      <w:pPr>
        <w:spacing w:after="0" w:line="120" w:lineRule="auto"/>
      </w:pPr>
    </w:p>
    <w:p>
      <w:r>
        <w:rPr>
          <w:b/>
        </w:rPr>
        <w:t xml:space="preserve">Closing Date:</w:t>
      </w:r>
      <w:r>
        <w:t xml:space="preserve"> On or before April 30, 2026</w:t>
      </w:r>
    </w:p>
    <w:p>
      <w:pPr>
        <w:spacing w:after="0" w:line="120" w:lineRule="auto"/>
      </w:pPr>
    </w:p>
    <w:p>
      <w:r>
        <w:rPr>
          <w:b/>
        </w:rPr>
        <w:t xml:space="preserve">Amount Raised:</w:t>
      </w:r>
      <w:r>
        <w:t xml:space="preserve"> $5,000,000</w:t>
      </w:r>
    </w:p>
    <w:p>
      <w:pPr>
        <w:spacing w:after="0" w:line="120" w:lineRule="auto"/>
      </w:pPr>
    </w:p>
    <w:p>
      <w:r>
        <w:rPr>
          <w:b/>
        </w:rPr>
        <w:t xml:space="preserve">Pre-Money Valuation:</w:t>
      </w:r>
      <w:r>
        <w:t xml:space="preserve"> $20,000,000 on a fully diluted basis</w:t>
      </w:r>
    </w:p>
    <w:p>
      <w:pPr>
        <w:spacing w:after="0" w:line="120" w:lineRule="auto"/>
      </w:pPr>
    </w:p>
    <w:p>
      <w:r>
        <w:rPr>
          <w:b/>
        </w:rPr>
        <w:t xml:space="preserve">Price Per Share:</w:t>
      </w:r>
      <w:r>
        <w:t xml:space="preserve"> $2.00 per share (based on 10,000,000 fully diluted shares</w:t>
      </w:r>
    </w:p>
    <w:p>
      <w:r>
        <w:t xml:space="preserve">outstanding pre-money)</w:t>
      </w:r>
    </w:p>
    <w:p>
      <w:pPr>
        <w:spacing w:after="0" w:line="120" w:lineRule="auto"/>
      </w:pPr>
    </w:p>
    <w:p>
      <w:r>
        <w:rPr>
          <w:b/>
        </w:rPr>
        <w:t xml:space="preserve">Post-Money Valuation:</w:t>
      </w:r>
      <w:r>
        <w:t xml:space="preserve"> $25,000,000</w:t>
      </w:r>
    </w:p>
    <w:p>
      <w:pPr>
        <w:spacing w:after="0" w:line="120" w:lineRule="auto"/>
      </w:pPr>
    </w:p>
    <w:p>
      <w:r>
        <w:rPr>
          <w:b/>
        </w:rPr>
        <w:t xml:space="preserve">Investors:</w:t>
      </w: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r>
        <w:tc>
          <w:tcPr>
            <w:tcW w:w="30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Investor</w:t>
            </w:r>
          </w:p>
        </w:tc>
        <w:tc>
          <w:tcPr>
            <w:tcW w:w="30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Amount</w:t>
            </w:r>
          </w:p>
        </w:tc>
        <w:tc>
          <w:tcPr>
            <w:tcW w:w="30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Shares</w:t>
            </w:r>
          </w:p>
        </w:tc>
      </w:tr>
      <w:tr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a16z crypto (Lead)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$3,500,000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1,750,000</w:t>
            </w:r>
          </w:p>
        </w:tc>
      </w:tr>
      <w:tr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Naval Ravikant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$500,000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250,000</w:t>
            </w:r>
          </w:p>
        </w:tc>
      </w:tr>
      <w:tr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Elad Gil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$500,000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250,000</w:t>
            </w:r>
          </w:p>
        </w:tc>
      </w:tr>
      <w:tr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Packy McCormick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$250,000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125,000</w:t>
            </w:r>
          </w:p>
        </w:tc>
      </w:tr>
      <w:tr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Scout Fund (various angels)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$250,000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125,000</w:t>
            </w:r>
          </w:p>
        </w:tc>
      </w:tr>
      <w:tr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**Total**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**$5,000,000**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**2,500,000**</w:t>
            </w:r>
          </w:p>
        </w:tc>
      </w:tr>
    </w:tbl>
    <w:p>
      <w:pPr>
        <w:spacing w:after="0" w:line="120" w:lineRule="auto"/>
      </w:pPr>
    </w:p>
    <w:p>
      <w:r>
        <w:rPr>
          <w:b/>
        </w:rPr>
        <w:t xml:space="preserve">Capitalization Pre-Financing:</w:t>
      </w:r>
    </w:p>
    <w:p>
      <w:pPr>
        <w:pStyle w:val="ListBullet"/>
      </w:pPr>
      <w:r>
        <w:t xml:space="preserve">• </w:t>
      </w:r>
      <w:r>
        <w:t xml:space="preserve">Founders (Ana Reyes, 55%; Dev Patel, 35%): 9,000,000 shares (90.0%)</w:t>
      </w:r>
    </w:p>
    <w:p>
      <w:pPr>
        <w:pStyle w:val="ListBullet"/>
      </w:pPr>
      <w:r>
        <w:t xml:space="preserve">• </w:t>
      </w:r>
      <w:r>
        <w:t xml:space="preserve">Employee Option Pool: 400,000 shares (4.0%)</w:t>
      </w:r>
    </w:p>
    <w:p>
      <w:pPr>
        <w:pStyle w:val="ListBullet"/>
      </w:pPr>
      <w:r>
        <w:t xml:space="preserve">• </w:t>
      </w:r>
      <w:r>
        <w:t xml:space="preserve">Advisor Pool: 100,000 shares (1.0%)</w:t>
      </w:r>
    </w:p>
    <w:p>
      <w:pPr>
        <w:pStyle w:val="ListBullet"/>
      </w:pPr>
      <w:r>
        <w:t xml:space="preserve">• </w:t>
      </w:r>
      <w:r>
        <w:t xml:space="preserve">Unallocated Option Pool: 500,000 shares (5.0%)</w:t>
      </w:r>
    </w:p>
    <w:p>
      <w:pPr>
        <w:spacing w:after="0" w:line="120" w:lineRule="auto"/>
      </w:pPr>
    </w:p>
    <w:p>
      <w:r>
        <w:rPr>
          <w:b/>
        </w:rPr>
        <w:t xml:space="preserve">Option Pool Expansion:</w:t>
      </w:r>
      <w:r>
        <w:t xml:space="preserve"> Unallocated pool to be increased to 10% of fully</w:t>
      </w:r>
    </w:p>
    <w:p>
      <w:r>
        <w:t xml:space="preserve">diluted post-financing capitalization, with increase from pre-money.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3"/>
      </w:pPr>
      <w:r>
        <w:t xml:space="preserve">CHARTER PROVISIONS</w:t>
      </w:r>
    </w:p>
    <w:p>
      <w:pPr>
        <w:spacing w:after="0" w:line="120" w:lineRule="auto"/>
      </w:pPr>
    </w:p>
    <w:p>
      <w:r>
        <w:rPr>
          <w:b/>
        </w:rPr>
        <w:t xml:space="preserve">Dividends:</w:t>
      </w:r>
      <w:r>
        <w:t xml:space="preserve"> Non-cumulative dividends at 6% per annum when and if declared</w:t>
      </w:r>
    </w:p>
    <w:p>
      <w:r>
        <w:t xml:space="preserve">by the Board. Seed Preferred participates in any Common Stock dividends on an</w:t>
      </w:r>
    </w:p>
    <w:p>
      <w:r>
        <w:t xml:space="preserve">as-converted basis.</w:t>
      </w:r>
    </w:p>
    <w:p>
      <w:pPr>
        <w:spacing w:after="0" w:line="120" w:lineRule="auto"/>
      </w:pPr>
    </w:p>
    <w:p>
      <w:r>
        <w:rPr>
          <w:b/>
        </w:rPr>
        <w:t xml:space="preserve">Liquidation Preference:</w:t>
      </w:r>
      <w:r>
        <w:t xml:space="preserve"> 1.0x non-participating preferred. Holders of Seed</w:t>
      </w:r>
    </w:p>
    <w:p>
      <w:r>
        <w:t xml:space="preserve">Preferred receive the greater of (i) 1.0x Original Purchase Price plus declared</w:t>
      </w:r>
    </w:p>
    <w:p>
      <w:r>
        <w:t xml:space="preserve">but unpaid dividends, or (ii) the amount receivable on an as-converted basis.</w:t>
      </w:r>
    </w:p>
    <w:p>
      <w:r>
        <w:t xml:space="preserve">No participation beyond the preference.</w:t>
      </w:r>
    </w:p>
    <w:p>
      <w:pPr>
        <w:spacing w:after="0" w:line="120" w:lineRule="auto"/>
      </w:pPr>
    </w:p>
    <w:p>
      <w:r>
        <w:rPr>
          <w:b/>
        </w:rPr>
        <w:t xml:space="preserve">Anti-Dilution:</w:t>
      </w:r>
      <w:r>
        <w:t xml:space="preserve"> Broad-based weighted average anti-dilution protection. No</w:t>
      </w:r>
    </w:p>
    <w:p>
      <w:r>
        <w:t xml:space="preserve">full ratchet. Customary exceptions for employee incentive issuances, strategic</w:t>
      </w:r>
    </w:p>
    <w:p>
      <w:r>
        <w:t xml:space="preserve">partnerships, and conversion of outstanding notes or SAFEs.</w:t>
      </w:r>
    </w:p>
    <w:p>
      <w:pPr>
        <w:spacing w:after="0" w:line="120" w:lineRule="auto"/>
      </w:pPr>
    </w:p>
    <w:p>
      <w:r>
        <w:rPr>
          <w:b/>
        </w:rPr>
        <w:t xml:space="preserve">Conversion:</w:t>
      </w:r>
      <w:r>
        <w:t xml:space="preserve"> Each share of Seed Preferred is convertible at any time at the</w:t>
      </w:r>
    </w:p>
    <w:p>
      <w:r>
        <w:t xml:space="preserve">holder's option into Common Stock at a 1:1 ratio, subject to anti-dilution</w:t>
      </w:r>
    </w:p>
    <w:p>
      <w:r>
        <w:t xml:space="preserve">adjustments.</w:t>
      </w:r>
    </w:p>
    <w:p>
      <w:pPr>
        <w:spacing w:after="0" w:line="120" w:lineRule="auto"/>
      </w:pPr>
    </w:p>
    <w:p>
      <w:r>
        <w:rPr>
          <w:b/>
        </w:rPr>
        <w:t xml:space="preserve">Automatic Conversion:</w:t>
      </w:r>
      <w:r>
        <w:t xml:space="preserve"> Seed Preferred converts automatically upon (i) a</w:t>
      </w:r>
    </w:p>
    <w:p>
      <w:r>
        <w:t xml:space="preserve">Qualified IPO with gross proceeds of at least $30,000,000 at a per-share price</w:t>
      </w:r>
    </w:p>
    <w:p>
      <w:r>
        <w:t xml:space="preserve">of at least 2x the Original Purchase Price, or (ii) consent of holders of a</w:t>
      </w:r>
    </w:p>
    <w:p>
      <w:r>
        <w:t xml:space="preserve">majority of the outstanding Seed Preferred.</w:t>
      </w:r>
    </w:p>
    <w:p>
      <w:pPr>
        <w:spacing w:after="0" w:line="120" w:lineRule="auto"/>
      </w:pPr>
    </w:p>
    <w:p>
      <w:r>
        <w:rPr>
          <w:b/>
        </w:rPr>
        <w:t xml:space="preserve">Voting Rights:</w:t>
      </w:r>
      <w:r>
        <w:t xml:space="preserve"> Seed Preferred votes with Common Stock on all matters on an</w:t>
      </w:r>
    </w:p>
    <w:p>
      <w:r>
        <w:t xml:space="preserve">as-converted basis. Protective provisions require consent of a majority of</w:t>
      </w:r>
    </w:p>
    <w:p>
      <w:r>
        <w:t xml:space="preserve">Seed Preferred only for:</w:t>
      </w:r>
    </w:p>
    <w:p>
      <w:pPr>
        <w:pStyle w:val="ListBullet"/>
      </w:pPr>
      <w:r>
        <w:t xml:space="preserve">1. </w:t>
      </w:r>
      <w:r>
        <w:t xml:space="preserve">Sale of all or substantially all Company assets, merger, or dissolution</w:t>
      </w:r>
    </w:p>
    <w:p>
      <w:pPr>
        <w:pStyle w:val="ListBullet"/>
      </w:pPr>
      <w:r>
        <w:t xml:space="preserve">2. </w:t>
      </w:r>
      <w:r>
        <w:t xml:space="preserve">Authorization or issuance of equity senior to Seed Preferred</w:t>
      </w:r>
    </w:p>
    <w:p>
      <w:pPr>
        <w:spacing w:after="0" w:line="120" w:lineRule="auto"/>
      </w:pPr>
    </w:p>
    <w:p>
      <w:r>
        <w:t xml:space="preserve">No other protective provisions apply. Specifically, the following actions do NOT</w:t>
      </w:r>
    </w:p>
    <w:p>
      <w:r>
        <w:t xml:space="preserve">require Seed Preferred consent: changes in authorized shares, incurrence of debt,</w:t>
      </w:r>
    </w:p>
    <w:p>
      <w:r>
        <w:t xml:space="preserve">related-party transactions, dividend declarations, or changes in Board size.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3"/>
      </w:pPr>
      <w:r>
        <w:t xml:space="preserve">BOARD OF DIRECTORS</w:t>
      </w:r>
    </w:p>
    <w:p>
      <w:pPr>
        <w:spacing w:after="0" w:line="120" w:lineRule="auto"/>
      </w:pPr>
    </w:p>
    <w:p>
      <w:r>
        <w:rPr>
          <w:b/>
        </w:rPr>
        <w:t xml:space="preserve">Composition:</w:t>
      </w:r>
      <w:r>
        <w:t xml:space="preserve"> The Board shall consist of five (5) members:</w:t>
      </w:r>
    </w:p>
    <w:p>
      <w:pPr>
        <w:pStyle w:val="ListBullet"/>
      </w:pPr>
      <w:r>
        <w:t xml:space="preserve">• </w:t>
      </w:r>
      <w:r>
        <w:t xml:space="preserve">Three (3) designated by the holders of Common Stock (initially Ana Reyes, Dev</w:t>
      </w:r>
    </w:p>
    <w:p>
      <w:r>
        <w:t xml:space="preserve">Patel, and one independent member chosen by the founders)</w:t>
      </w:r>
    </w:p>
    <w:p>
      <w:pPr>
        <w:pStyle w:val="ListBullet"/>
      </w:pPr>
      <w:r>
        <w:t xml:space="preserve">• </w:t>
      </w:r>
      <w:r>
        <w:t xml:space="preserve">One (1) designated by a16z crypto</w:t>
      </w:r>
    </w:p>
    <w:p>
      <w:pPr>
        <w:pStyle w:val="ListBullet"/>
      </w:pPr>
      <w:r>
        <w:t xml:space="preserve">• </w:t>
      </w:r>
      <w:r>
        <w:t xml:space="preserve">One (1) mutually agreed independent member</w:t>
      </w:r>
    </w:p>
    <w:p>
      <w:pPr>
        <w:spacing w:after="0" w:line="120" w:lineRule="auto"/>
      </w:pPr>
    </w:p>
    <w:p>
      <w:r>
        <w:t xml:space="preserve">Founders retain clear Board control. Board meetings shall occur at least</w:t>
      </w:r>
    </w:p>
    <w:p>
      <w:r>
        <w:t xml:space="preserve">quarterly, with a16z receiving standard Board materials at least 5 business</w:t>
      </w:r>
    </w:p>
    <w:p>
      <w:r>
        <w:t xml:space="preserve">days in advance.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3"/>
      </w:pPr>
      <w:r>
        <w:t xml:space="preserve">INVESTOR RIGHTS</w:t>
      </w:r>
    </w:p>
    <w:p>
      <w:pPr>
        <w:spacing w:after="0" w:line="120" w:lineRule="auto"/>
      </w:pPr>
    </w:p>
    <w:p>
      <w:r>
        <w:rPr>
          <w:b/>
        </w:rPr>
        <w:t xml:space="preserve">Information Rights:</w:t>
      </w:r>
      <w:r>
        <w:t xml:space="preserve"> Quarterly unaudited financial statements within 45 days</w:t>
      </w:r>
    </w:p>
    <w:p>
      <w:r>
        <w:t xml:space="preserve">of quarter-end. Annual unaudited financials within 120 days of fiscal year-end.</w:t>
      </w:r>
    </w:p>
    <w:p>
      <w:r>
        <w:t xml:space="preserve">Monthly investor updates (narrative, not financial) at Company's discretion.</w:t>
      </w:r>
    </w:p>
    <w:p>
      <w:pPr>
        <w:spacing w:after="0" w:line="120" w:lineRule="auto"/>
      </w:pPr>
    </w:p>
    <w:p>
      <w:r>
        <w:t xml:space="preserve">Only investors holding at least $500,000 in aggregate investment are entitled</w:t>
      </w:r>
    </w:p>
    <w:p>
      <w:r>
        <w:t xml:space="preserve">to information rights. Investors holding less than $500,000 receive annual</w:t>
      </w:r>
    </w:p>
    <w:p>
      <w:r>
        <w:t xml:space="preserve">summary updates only.</w:t>
      </w:r>
    </w:p>
    <w:p>
      <w:pPr>
        <w:spacing w:after="0" w:line="120" w:lineRule="auto"/>
      </w:pPr>
    </w:p>
    <w:p>
      <w:r>
        <w:rPr>
          <w:b/>
        </w:rPr>
        <w:t xml:space="preserve">Pro-Rata Rights:</w:t>
      </w:r>
      <w:r>
        <w:t xml:space="preserve"> Major Investors (holding at least $500,000) have standard</w:t>
      </w:r>
    </w:p>
    <w:p>
      <w:r>
        <w:t xml:space="preserve">pro-rata rights in future equity financings. No super pro-rata or over-</w:t>
      </w:r>
    </w:p>
    <w:p>
      <w:r>
        <w:t xml:space="preserve">allocation rights for any investor.</w:t>
      </w:r>
    </w:p>
    <w:p>
      <w:pPr>
        <w:spacing w:after="0" w:line="120" w:lineRule="auto"/>
      </w:pPr>
    </w:p>
    <w:p>
      <w:r>
        <w:rPr>
          <w:b/>
        </w:rPr>
        <w:t xml:space="preserve">Registration Rights:</w:t>
      </w:r>
      <w:r>
        <w:t xml:space="preserve"> Piggyback registration rights only, beginning 180 days</w:t>
      </w:r>
    </w:p>
    <w:p>
      <w:r>
        <w:t xml:space="preserve">after IPO. No demand registration rights. Company bears registration expenses</w:t>
      </w:r>
    </w:p>
    <w:p>
      <w:r>
        <w:t xml:space="preserve">excluding selling commissions.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3"/>
      </w:pPr>
      <w:r>
        <w:t xml:space="preserve">ADDITIONAL TERMS</w:t>
      </w:r>
    </w:p>
    <w:p>
      <w:pPr>
        <w:spacing w:after="0" w:line="120" w:lineRule="auto"/>
      </w:pPr>
    </w:p>
    <w:p>
      <w:r>
        <w:rPr>
          <w:b/>
        </w:rPr>
        <w:t xml:space="preserve">Right of First Refusal / Co-Sale:</w:t>
      </w:r>
      <w:r>
        <w:t xml:space="preserve"> Company has ROFR on founder share</w:t>
      </w:r>
    </w:p>
    <w:p>
      <w:r>
        <w:t xml:space="preserve">transfers. No investor co-sale rights. Founders may transfer up to 10% of</w:t>
      </w:r>
    </w:p>
    <w:p>
      <w:r>
        <w:t xml:space="preserve">their shares annually without triggering ROFR, provided the transfers are to</w:t>
      </w:r>
    </w:p>
    <w:p>
      <w:r>
        <w:t xml:space="preserve">family members, trusts, or in secondary sales approved by the Board.</w:t>
      </w:r>
    </w:p>
    <w:p>
      <w:pPr>
        <w:spacing w:after="0" w:line="120" w:lineRule="auto"/>
      </w:pPr>
    </w:p>
    <w:p>
      <w:r>
        <w:rPr>
          <w:b/>
        </w:rPr>
        <w:t xml:space="preserve">Drag-Along:</w:t>
      </w:r>
      <w:r>
        <w:t xml:space="preserve"> Holders of 70% of Common Stock (on an as-converted basis) may</w:t>
      </w:r>
    </w:p>
    <w:p>
      <w:r>
        <w:t xml:space="preserve">compel all stockholders to approve a Company sale, provided the per-share</w:t>
      </w:r>
    </w:p>
    <w:p>
      <w:r>
        <w:t xml:space="preserve">consideration is at least 2x the Seed Preferred Original Purchase Price.</w:t>
      </w:r>
    </w:p>
    <w:p>
      <w:pPr>
        <w:spacing w:after="0" w:line="120" w:lineRule="auto"/>
      </w:pPr>
    </w:p>
    <w:p>
      <w:r>
        <w:rPr>
          <w:b/>
        </w:rPr>
        <w:t xml:space="preserve">No-Shop / Exclusivity:</w:t>
      </w:r>
      <w:r>
        <w:t xml:space="preserve"> The Company agrees to exclusivity for 30 days from</w:t>
      </w:r>
    </w:p>
    <w:p>
      <w:r>
        <w:t xml:space="preserve">the date of this Term Sheet. The Company may respond to unsolicited inbound</w:t>
      </w:r>
    </w:p>
    <w:p>
      <w:r>
        <w:t xml:space="preserve">inquiries but shall not enter into any term sheet or binding commitment.</w:t>
      </w:r>
    </w:p>
    <w:p>
      <w:pPr>
        <w:spacing w:after="0" w:line="120" w:lineRule="auto"/>
      </w:pPr>
    </w:p>
    <w:p>
      <w:r>
        <w:rPr>
          <w:b/>
        </w:rPr>
        <w:t xml:space="preserve">Non-Compete:</w:t>
      </w:r>
      <w:r>
        <w:t xml:space="preserve"> None. No founder non-compete is required. Standard</w:t>
      </w:r>
    </w:p>
    <w:p>
      <w:r>
        <w:t xml:space="preserve">non-solicitation of employees and customers for 12 months post-termination</w:t>
      </w:r>
    </w:p>
    <w:p>
      <w:r>
        <w:t xml:space="preserve">shall apply under the employment agreements.</w:t>
      </w:r>
    </w:p>
    <w:p>
      <w:pPr>
        <w:spacing w:after="0" w:line="120" w:lineRule="auto"/>
      </w:pPr>
    </w:p>
    <w:p>
      <w:r>
        <w:rPr>
          <w:b/>
        </w:rPr>
        <w:t xml:space="preserve">Founder Vesting:</w:t>
      </w:r>
      <w:r>
        <w:t xml:space="preserve"> Existing founder shares are fully vested. No additional</w:t>
      </w:r>
    </w:p>
    <w:p>
      <w:r>
        <w:t xml:space="preserve">vesting or re-vesting required at this round.</w:t>
      </w:r>
    </w:p>
    <w:p>
      <w:pPr>
        <w:spacing w:after="0" w:line="120" w:lineRule="auto"/>
      </w:pPr>
    </w:p>
    <w:p>
      <w:r>
        <w:rPr>
          <w:b/>
        </w:rPr>
        <w:t xml:space="preserve">Acceleration:</w:t>
      </w:r>
      <w:r>
        <w:t xml:space="preserve"> Full double-trigger acceleration for both founders. Upon (i) a</w:t>
      </w:r>
    </w:p>
    <w:p>
      <w:r>
        <w:t xml:space="preserve">Change of Control followed by (ii) termination without cause or resignation for</w:t>
      </w:r>
    </w:p>
    <w:p>
      <w:r>
        <w:t xml:space="preserve">good reason within 12 months, 100% of any unvested shares vest immediately.</w:t>
      </w:r>
    </w:p>
    <w:p>
      <w:r>
        <w:t xml:space="preserve">Single-trigger acceleration is not provided.</w:t>
      </w:r>
    </w:p>
    <w:p>
      <w:pPr>
        <w:spacing w:after="0" w:line="120" w:lineRule="auto"/>
      </w:pPr>
    </w:p>
    <w:p>
      <w:r>
        <w:rPr>
          <w:b/>
        </w:rPr>
        <w:t xml:space="preserve">Employee Matters:</w:t>
      </w:r>
    </w:p>
    <w:p>
      <w:pPr>
        <w:pStyle w:val="ListBullet"/>
      </w:pPr>
      <w:r>
        <w:t xml:space="preserve">• </w:t>
      </w:r>
      <w:r>
        <w:t xml:space="preserve">All employees to sign CIIAs</w:t>
      </w:r>
    </w:p>
    <w:p>
      <w:pPr>
        <w:pStyle w:val="ListBullet"/>
      </w:pPr>
      <w:r>
        <w:t xml:space="preserve">• </w:t>
      </w:r>
      <w:r>
        <w:t xml:space="preserve">180-day post-termination exercise period for all options (extended from</w:t>
      </w:r>
    </w:p>
    <w:p>
      <w:r>
        <w:t xml:space="preserve">standard 90 days)</w:t>
      </w:r>
    </w:p>
    <w:p>
      <w:pPr>
        <w:pStyle w:val="ListBullet"/>
      </w:pPr>
      <w:r>
        <w:t xml:space="preserve">• </w:t>
      </w:r>
      <w:r>
        <w:t xml:space="preserve">Early exercise permitted for all option grants</w:t>
      </w:r>
    </w:p>
    <w:p>
      <w:pPr>
        <w:spacing w:after="0" w:line="120" w:lineRule="auto"/>
      </w:pPr>
    </w:p>
    <w:p>
      <w:r>
        <w:rPr>
          <w:b/>
        </w:rPr>
        <w:t xml:space="preserve">Expenses:</w:t>
      </w:r>
      <w:r>
        <w:t xml:space="preserve"> Company to pay a16z's legal fees capped at $25,000.</w:t>
      </w:r>
    </w:p>
    <w:p>
      <w:pPr>
        <w:spacing w:after="0" w:line="120" w:lineRule="auto"/>
      </w:pPr>
    </w:p>
    <w:p>
      <w:r>
        <w:rPr>
          <w:b/>
        </w:rPr>
        <w:t xml:space="preserve">Closing Conditions:</w:t>
      </w:r>
    </w:p>
    <w:p>
      <w:pPr>
        <w:pStyle w:val="ListBullet"/>
      </w:pPr>
      <w:r>
        <w:t xml:space="preserve">• </w:t>
      </w:r>
      <w:r>
        <w:t xml:space="preserve">Satisfactory completion of confirmatory due diligence</w:t>
      </w:r>
    </w:p>
    <w:p>
      <w:pPr>
        <w:pStyle w:val="ListBullet"/>
      </w:pPr>
      <w:r>
        <w:t xml:space="preserve">• </w:t>
      </w:r>
      <w:r>
        <w:t xml:space="preserve">Execution of definitive agreements</w:t>
      </w:r>
    </w:p>
    <w:p>
      <w:pPr>
        <w:pStyle w:val="ListBullet"/>
      </w:pPr>
      <w:r>
        <w:t xml:space="preserve">• </w:t>
      </w:r>
      <w:r>
        <w:t xml:space="preserve">Board approval of restated Certificate of Incorporation</w:t>
      </w:r>
    </w:p>
    <w:p>
      <w:pPr>
        <w:spacing w:after="0" w:line="120" w:lineRule="auto"/>
      </w:pPr>
    </w:p>
    <w:p>
      <w:r>
        <w:rPr>
          <w:b/>
        </w:rPr>
        <w:t xml:space="preserve">Governing Law:</w:t>
      </w:r>
      <w:r>
        <w:t xml:space="preserve"> State of Delaware.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r>
        <w:rPr>
          <w:b/>
        </w:rPr>
        <w:t xml:space="preserve">AGREED AND ACCEPTED:</w:t>
      </w:r>
    </w:p>
    <w:p>
      <w:pPr>
        <w:spacing w:after="0" w:line="120" w:lineRule="auto"/>
      </w:pPr>
    </w:p>
    <w:p>
      <w:r>
        <w:t xml:space="preserve">PayLoop, Inc.</w:t>
      </w:r>
    </w:p>
    <w:p>
      <w:pPr>
        <w:spacing w:after="0" w:line="120" w:lineRule="auto"/>
      </w:pPr>
    </w:p>
    <w:p>
      <w:r>
        <w:t xml:space="preserve">By: ___________________________</w:t>
      </w:r>
    </w:p>
    <w:p>
      <w:r>
        <w:t xml:space="preserve">Name: Ana Reyes, CEO &amp; Co-Founder</w:t>
      </w:r>
    </w:p>
    <w:p>
      <w:r>
        <w:t xml:space="preserve">Date: March __, 2026</w:t>
      </w:r>
    </w:p>
    <w:p>
      <w:pPr>
        <w:spacing w:after="0" w:line="120" w:lineRule="auto"/>
      </w:pPr>
    </w:p>
    <w:p>
      <w:r>
        <w:t xml:space="preserve">a16z crypto Fund IV, L.P.</w:t>
      </w:r>
    </w:p>
    <w:p>
      <w:pPr>
        <w:spacing w:after="0" w:line="120" w:lineRule="auto"/>
      </w:pPr>
    </w:p>
    <w:p>
      <w:r>
        <w:t xml:space="preserve">By: ___________________________</w:t>
      </w:r>
    </w:p>
    <w:p>
      <w:r>
        <w:t xml:space="preserve">Name: Ali Yahya, General Partner</w:t>
      </w:r>
    </w:p>
    <w:p>
      <w:r>
        <w:t xml:space="preserve">Date: March __, 2026</w:t>
      </w:r>
    </w:p>
    <w:p>
      <w:pPr>
        <w:spacing w:after="0" w:line="120" w:lineRule="auto"/>
      </w:pP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styleId="Normal">
    <w:name w:val="Normal"/>
    <w:qFormat/>
  </w:style>
  <w:style w:type="paragraph" w:styleId="Heading1">
    <w:name w:val="heading 1"/>
    <w:qFormat/>
    <w:pPr>
      <w:spacing w:before="360" w:after="120"/>
    </w:pPr>
    <w:rPr>
      <w:rFonts w:ascii="Calibri" w:hAnsi="Calibri"/>
      <w:b/>
      <w:color w:val="1F3864"/>
      <w:sz w:val="36"/>
      <w:szCs w:val="36"/>
    </w:rPr>
  </w:style>
  <w:style w:type="paragraph" w:styleId="Heading2">
    <w:name w:val="heading 2"/>
    <w:qFormat/>
    <w:pPr>
      <w:spacing w:before="240" w:after="80"/>
    </w:pPr>
    <w:rPr>
      <w:rFonts w:ascii="Calibri" w:hAnsi="Calibri"/>
      <w:b/>
      <w:color w:val="2E75B6"/>
      <w:sz w:val="28"/>
      <w:szCs w:val="28"/>
    </w:rPr>
  </w:style>
  <w:style w:type="paragraph" w:styleId="Heading3">
    <w:name w:val="heading 3"/>
    <w:qFormat/>
    <w:pPr>
      <w:spacing w:before="200" w:after="60"/>
    </w:pPr>
    <w:rPr>
      <w:rFonts w:ascii="Calibri" w:hAnsi="Calibri"/>
      <w:b/>
      <w:color w:val="404040"/>
      <w:sz w:val="24"/>
      <w:szCs w:val="24"/>
    </w:rPr>
  </w:style>
  <w:style w:type="paragraph" w:styleId="ListBullet">
    <w:name w:val="List Bullet"/>
    <w:pPr>
      <w:ind w:left="720" w:hanging="360"/>
      <w:spacing w:after="60"/>
    </w:pPr>
  </w:style>
  <w:style w:type="paragraph" w:styleId="HorizontalRule">
    <w:name w:val="Horizontal Rule"/>
    <w:pPr>
      <w:pBdr>
        <w:bottom w:val="single" w:sz="6" w:space="1" w:color="CCCCCC"/>
      </w:pBdr>
      <w:spacing w:before="120" w:after="120"/>
    </w:pPr>
    <w:rPr>
      <w:sz w:val="4"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</file>