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SAFE TERM SHEET</w:t>
      </w:r>
    </w:p>
    <w:p>
      <w:pPr>
        <w:pStyle w:val="Heading2"/>
      </w:pPr>
      <w:r>
        <w:t xml:space="preserve">SkillForge, Inc. — Post-Money SAFE Financing</w:t>
      </w:r>
    </w:p>
    <w:p>
      <w:pPr>
        <w:spacing w:after="0" w:line="120" w:lineRule="auto"/>
      </w:pPr>
    </w:p>
    <w:p>
      <w:r>
        <w:rPr>
          <w:b/>
        </w:rPr>
        <w:t xml:space="preserve">Date:</w:t>
      </w:r>
      <w:r>
        <w:t xml:space="preserve"> January 5, 2026</w:t>
      </w:r>
    </w:p>
    <w:p>
      <w:r>
        <w:rPr>
          <w:b/>
        </w:rPr>
        <w:t xml:space="preserve">Confidential</w:t>
      </w:r>
    </w:p>
    <w:p>
      <w:pPr>
        <w:spacing w:after="0" w:line="120" w:lineRule="auto"/>
      </w:pPr>
    </w:p>
    <w:p>
      <w:r>
        <w:t xml:space="preserve">This document summarizes the principal terms of the proposed Simple Agreement</w:t>
      </w:r>
    </w:p>
    <w:p>
      <w:r>
        <w:t xml:space="preserve">for Future Equity ("SAFE") financing of SkillForge, Inc., a Delaware</w:t>
      </w:r>
    </w:p>
    <w:p>
      <w:r>
        <w:t xml:space="preserve">corporation (the "Company"). This summary is for discussion purposes only</w:t>
      </w:r>
    </w:p>
    <w:p>
      <w:r>
        <w:t xml:space="preserve">and is non-binding in its entirety.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OFFERING TERMS</w:t>
      </w:r>
    </w:p>
    <w:p>
      <w:pPr>
        <w:spacing w:after="0" w:line="120" w:lineRule="auto"/>
      </w:pPr>
    </w:p>
    <w:p>
      <w:r>
        <w:rPr>
          <w:b/>
        </w:rPr>
        <w:t xml:space="preserve">Security:</w:t>
      </w:r>
      <w:r>
        <w:t xml:space="preserve"> Post-Money SAFEs, based on the YC standard post-money SAFE</w:t>
      </w:r>
    </w:p>
    <w:p>
      <w:r>
        <w:t xml:space="preserve">template, with modifications noted herein</w:t>
      </w:r>
    </w:p>
    <w:p>
      <w:pPr>
        <w:spacing w:after="0" w:line="120" w:lineRule="auto"/>
      </w:pPr>
    </w:p>
    <w:p>
      <w:r>
        <w:rPr>
          <w:b/>
        </w:rPr>
        <w:t xml:space="preserve">Total Amount Raised:</w:t>
      </w:r>
      <w:r>
        <w:t xml:space="preserve"> $3,000,000</w:t>
      </w:r>
    </w:p>
    <w:p>
      <w:pPr>
        <w:spacing w:after="0" w:line="120" w:lineRule="auto"/>
      </w:pPr>
    </w:p>
    <w:p>
      <w:r>
        <w:rPr>
          <w:b/>
        </w:rPr>
        <w:t xml:space="preserve">Post-Money Valuation Cap:</w:t>
      </w:r>
      <w:r>
        <w:t xml:space="preserve"> $15,000,000</w:t>
      </w:r>
    </w:p>
    <w:p>
      <w:pPr>
        <w:spacing w:after="0" w:line="120" w:lineRule="auto"/>
      </w:pPr>
    </w:p>
    <w:p>
      <w:r>
        <w:rPr>
          <w:b/>
        </w:rPr>
        <w:t xml:space="preserve">Discount:</w:t>
      </w:r>
      <w:r>
        <w:t xml:space="preserve"> None (standard for post-money SAFEs)</w:t>
      </w:r>
    </w:p>
    <w:p>
      <w:pPr>
        <w:spacing w:after="0" w:line="120" w:lineRule="auto"/>
      </w:pPr>
    </w:p>
    <w:p>
      <w:r>
        <w:rPr>
          <w:b/>
        </w:rPr>
        <w:t xml:space="preserve">Investors: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30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Investor</w:t>
            </w:r>
          </w:p>
        </w:tc>
        <w:tc>
          <w:tcPr>
            <w:tcW w:w="30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Amount</w:t>
            </w:r>
          </w:p>
        </w:tc>
        <w:tc>
          <w:tcPr>
            <w:tcW w:w="30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SAFE Ownership %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Primary Venture Partners (Lead)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$1,500,000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10.00%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Floodgate Fund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$500,000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3.33%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SV Angel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$300,000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2.00%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Charles Hudson (Precursor Ventures)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$200,000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1.33%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Cindy Bi (individual)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$150,000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1.00%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Ryan Hoover (individual)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$100,000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0.67%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Sahil Lavingia (individual)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$100,000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0.67%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Shrug Capital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$75,000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0.50%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Scout Fund Collective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$75,000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0.50%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**Total**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**$3,000,000**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**20.00%**</w:t>
            </w:r>
          </w:p>
        </w:tc>
      </w:tr>
    </w:tbl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SAFE TERMS</w:t>
      </w:r>
    </w:p>
    <w:p>
      <w:pPr>
        <w:spacing w:after="0" w:line="120" w:lineRule="auto"/>
      </w:pPr>
    </w:p>
    <w:p>
      <w:r>
        <w:rPr>
          <w:b/>
        </w:rPr>
        <w:t xml:space="preserve">Conversion:</w:t>
      </w:r>
      <w:r>
        <w:t xml:space="preserve"> Each SAFE converts into shares of the Company's Preferred Stock</w:t>
      </w:r>
    </w:p>
    <w:p>
      <w:r>
        <w:t xml:space="preserve">sold in the next priced Equity Financing (as defined below) at a price per share</w:t>
      </w:r>
    </w:p>
    <w:p>
      <w:r>
        <w:t xml:space="preserve">equal to the Post-Money Valuation Cap divided by the Company Capitalization</w:t>
      </w:r>
    </w:p>
    <w:p>
      <w:r>
        <w:t xml:space="preserve">(as defined in the SAFE).</w:t>
      </w:r>
    </w:p>
    <w:p>
      <w:pPr>
        <w:spacing w:after="0" w:line="120" w:lineRule="auto"/>
      </w:pPr>
    </w:p>
    <w:p>
      <w:r>
        <w:rPr>
          <w:b/>
        </w:rPr>
        <w:t xml:space="preserve">Equity Financing Threshold:</w:t>
      </w:r>
      <w:r>
        <w:t xml:space="preserve"> A bona fide transaction with the principal</w:t>
      </w:r>
    </w:p>
    <w:p>
      <w:r>
        <w:t xml:space="preserve">purpose of raising capital, in which the Company issues and sells Preferred Stock</w:t>
      </w:r>
    </w:p>
    <w:p>
      <w:r>
        <w:t xml:space="preserve">at a fixed valuation. No minimum raise threshold — any priced round triggers</w:t>
      </w:r>
    </w:p>
    <w:p>
      <w:r>
        <w:t xml:space="preserve">conversion.</w:t>
      </w:r>
    </w:p>
    <w:p>
      <w:pPr>
        <w:spacing w:after="0" w:line="120" w:lineRule="auto"/>
      </w:pPr>
    </w:p>
    <w:p>
      <w:r>
        <w:rPr>
          <w:b/>
        </w:rPr>
        <w:t xml:space="preserve">Liquidity Event:</w:t>
      </w:r>
      <w:r>
        <w:t xml:space="preserve"> If a Change of Control or IPO occurs before conversion,</w:t>
      </w:r>
    </w:p>
    <w:p>
      <w:r>
        <w:t xml:space="preserve">each SAFE holder receives the greater of (i) the SAFE amount, or (ii) the</w:t>
      </w:r>
    </w:p>
    <w:p>
      <w:r>
        <w:t xml:space="preserve">amount payable on the number of shares of Common Stock equal to the SAFE amount</w:t>
      </w:r>
    </w:p>
    <w:p>
      <w:r>
        <w:t xml:space="preserve">divided by the Liquidity Price.</w:t>
      </w:r>
    </w:p>
    <w:p>
      <w:pPr>
        <w:spacing w:after="0" w:line="120" w:lineRule="auto"/>
      </w:pPr>
    </w:p>
    <w:p>
      <w:r>
        <w:rPr>
          <w:b/>
        </w:rPr>
        <w:t xml:space="preserve">Dissolution Event:</w:t>
      </w:r>
      <w:r>
        <w:t xml:space="preserve"> If the Company dissolves before conversion, each holder</w:t>
      </w:r>
    </w:p>
    <w:p>
      <w:r>
        <w:t xml:space="preserve">receives its SAFE amount, pari passu with other SAFEs and senior to Common Stock.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MFN CLAUSE (EXPANDED)</w:t>
      </w:r>
    </w:p>
    <w:p>
      <w:pPr>
        <w:spacing w:after="0" w:line="120" w:lineRule="auto"/>
      </w:pPr>
    </w:p>
    <w:p>
      <w:r>
        <w:t xml:space="preserve">The Company represents that it will not issue any convertible security (including</w:t>
      </w:r>
    </w:p>
    <w:p>
      <w:r>
        <w:t xml:space="preserve">SAFEs, convertible notes, KISS agreements, or any other instrument convertible</w:t>
      </w:r>
    </w:p>
    <w:p>
      <w:r>
        <w:t xml:space="preserve">into equity) on terms materially more favorable than those provided in these</w:t>
      </w:r>
    </w:p>
    <w:p>
      <w:r>
        <w:t xml:space="preserve">SAFEs without offering each SAFE holder the opportunity to amend their SAFE to</w:t>
      </w:r>
    </w:p>
    <w:p>
      <w:r>
        <w:t xml:space="preserve">incorporate such more favorable terms.</w:t>
      </w:r>
    </w:p>
    <w:p>
      <w:pPr>
        <w:spacing w:after="0" w:line="120" w:lineRule="auto"/>
      </w:pPr>
    </w:p>
    <w:p>
      <w:r>
        <w:t xml:space="preserve">This MFN right explicitly covers:</w:t>
      </w:r>
    </w:p>
    <w:p>
      <w:pPr>
        <w:pStyle w:val="ListBullet"/>
      </w:pPr>
      <w:r>
        <w:t xml:space="preserve">1. </w:t>
      </w:r>
      <w:r>
        <w:t xml:space="preserve">SAFEs with a lower post-money valuation cap</w:t>
      </w:r>
    </w:p>
    <w:p>
      <w:pPr>
        <w:pStyle w:val="ListBullet"/>
      </w:pPr>
      <w:r>
        <w:t xml:space="preserve">2. </w:t>
      </w:r>
      <w:r>
        <w:t xml:space="preserve">SAFEs with a discount on the next round price</w:t>
      </w:r>
    </w:p>
    <w:p>
      <w:pPr>
        <w:pStyle w:val="ListBullet"/>
      </w:pPr>
      <w:r>
        <w:t xml:space="preserve">3. </w:t>
      </w:r>
      <w:r>
        <w:t xml:space="preserve">Convertible notes with a lower valuation cap or higher discount</w:t>
      </w:r>
    </w:p>
    <w:p>
      <w:pPr>
        <w:pStyle w:val="ListBullet"/>
      </w:pPr>
      <w:r>
        <w:t xml:space="preserve">4. </w:t>
      </w:r>
      <w:r>
        <w:t xml:space="preserve">Any convertible instrument with additional investor protections, information</w:t>
      </w:r>
    </w:p>
    <w:p>
      <w:r>
        <w:t xml:space="preserve">rights, or governance rights not provided in these SAFEs</w:t>
      </w:r>
    </w:p>
    <w:p>
      <w:pPr>
        <w:spacing w:after="0" w:line="120" w:lineRule="auto"/>
      </w:pPr>
    </w:p>
    <w:p>
      <w:r>
        <w:t xml:space="preserve">Each holder may elect to adopt favorable terms individually and selectively.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SIDE LETTER — PRIMARY VENTURE PARTNERS</w:t>
      </w:r>
    </w:p>
    <w:p>
      <w:pPr>
        <w:spacing w:after="0" w:line="120" w:lineRule="auto"/>
      </w:pPr>
    </w:p>
    <w:p>
      <w:r>
        <w:t xml:space="preserve">In connection with Primary Venture Partners' $1,500,000 investment, the Company</w:t>
      </w:r>
    </w:p>
    <w:p>
      <w:r>
        <w:t xml:space="preserve">and PVP have agreed to the following supplemental terms (the "Side Letter"),</w:t>
      </w:r>
    </w:p>
    <w:p>
      <w:r>
        <w:t xml:space="preserve">which apply solely to PVP:</w:t>
      </w:r>
    </w:p>
    <w:p>
      <w:pPr>
        <w:spacing w:after="0" w:line="120" w:lineRule="auto"/>
      </w:pPr>
    </w:p>
    <w:p>
      <w:r>
        <w:rPr>
          <w:b/>
        </w:rPr>
        <w:t xml:space="preserve">Monthly Financial Reporting:</w:t>
      </w:r>
      <w:r>
        <w:t xml:space="preserve"> The Company shall deliver to PVP monthly</w:t>
      </w:r>
    </w:p>
    <w:p>
      <w:r>
        <w:t xml:space="preserve">unaudited financial statements including income statement, balance sheet, and</w:t>
      </w:r>
    </w:p>
    <w:p>
      <w:r>
        <w:t xml:space="preserve">cash flow statement within 20 days of each month-end, and a written narrative</w:t>
      </w:r>
    </w:p>
    <w:p>
      <w:r>
        <w:t xml:space="preserve">management update within 25 days of each month-end.</w:t>
      </w:r>
    </w:p>
    <w:p>
      <w:pPr>
        <w:spacing w:after="0" w:line="120" w:lineRule="auto"/>
      </w:pPr>
    </w:p>
    <w:p>
      <w:r>
        <w:rPr>
          <w:b/>
        </w:rPr>
        <w:t xml:space="preserve">Board Observer Seat:</w:t>
      </w:r>
      <w:r>
        <w:t xml:space="preserve"> PVP shall have the right to designate one</w:t>
      </w:r>
    </w:p>
    <w:p>
      <w:r>
        <w:t xml:space="preserve">representative to attend all meetings of the Company's Board of Directors in a</w:t>
      </w:r>
    </w:p>
    <w:p>
      <w:r>
        <w:t xml:space="preserve">non-voting, observer capacity. The observer shall receive all Board materials on</w:t>
      </w:r>
    </w:p>
    <w:p>
      <w:r>
        <w:t xml:space="preserve">the same timeline as directors. The Company may exclude the observer from</w:t>
      </w:r>
    </w:p>
    <w:p>
      <w:r>
        <w:t xml:space="preserve">discussions relating to matters in which PVP has a material conflict of interest.</w:t>
      </w:r>
    </w:p>
    <w:p>
      <w:pPr>
        <w:spacing w:after="0" w:line="120" w:lineRule="auto"/>
      </w:pPr>
    </w:p>
    <w:p>
      <w:r>
        <w:rPr>
          <w:b/>
        </w:rPr>
        <w:t xml:space="preserve">Consent Right on Debt:</w:t>
      </w:r>
      <w:r>
        <w:t xml:space="preserve"> The Company shall not incur, assume, or guarantee any</w:t>
      </w:r>
    </w:p>
    <w:p>
      <w:r>
        <w:t xml:space="preserve">indebtedness (including equipment financing, lines of credit, venture debt, or</w:t>
      </w:r>
    </w:p>
    <w:p>
      <w:r>
        <w:t xml:space="preserve">convertible notes, but excluding trade payables in the ordinary course) in</w:t>
      </w:r>
    </w:p>
    <w:p>
      <w:r>
        <w:t xml:space="preserve">excess of $250,000 in the aggregate outstanding at any time without PVP's prior</w:t>
      </w:r>
    </w:p>
    <w:p>
      <w:r>
        <w:t xml:space="preserve">written consent.</w:t>
      </w:r>
    </w:p>
    <w:p>
      <w:pPr>
        <w:spacing w:after="0" w:line="120" w:lineRule="auto"/>
      </w:pPr>
    </w:p>
    <w:p>
      <w:r>
        <w:rPr>
          <w:b/>
        </w:rPr>
        <w:t xml:space="preserve">Consent Right on Related-Party Transactions:</w:t>
      </w:r>
      <w:r>
        <w:t xml:space="preserve"> Any transaction between the</w:t>
      </w:r>
    </w:p>
    <w:p>
      <w:r>
        <w:t xml:space="preserve">Company and any founder, officer, director, or holder of more than 5% of the</w:t>
      </w:r>
    </w:p>
    <w:p>
      <w:r>
        <w:t xml:space="preserve">Company's equity requiring payment or transfer of value exceeding $50,000 shall</w:t>
      </w:r>
    </w:p>
    <w:p>
      <w:r>
        <w:t xml:space="preserve">require PVP's prior written consent.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PRO-RATA SIDE LETTER — PRIMARY VENTURE PARTNERS</w:t>
      </w:r>
    </w:p>
    <w:p>
      <w:pPr>
        <w:spacing w:after="0" w:line="120" w:lineRule="auto"/>
      </w:pPr>
    </w:p>
    <w:p>
      <w:r>
        <w:t xml:space="preserve">PVP shall have the right to participate in the next Equity Financing (the round</w:t>
      </w:r>
    </w:p>
    <w:p>
      <w:r>
        <w:t xml:space="preserve">in which the SAFEs convert) in an amount equal to up to 2x its pro-rata</w:t>
      </w:r>
    </w:p>
    <w:p>
      <w:r>
        <w:t xml:space="preserve">ownership percentage (i.e., up to 20% of the round based on its 10% ownership).</w:t>
      </w:r>
    </w:p>
    <w:p>
      <w:r>
        <w:t xml:space="preserve">This over-allocation right is personal to PVP and non-transferable.</w:t>
      </w:r>
    </w:p>
    <w:p>
      <w:pPr>
        <w:spacing w:after="0" w:line="120" w:lineRule="auto"/>
      </w:pPr>
    </w:p>
    <w:p>
      <w:r>
        <w:t xml:space="preserve">PVP shall also have standard pro-rata rights in all subsequent equity financings</w:t>
      </w:r>
    </w:p>
    <w:p>
      <w:r>
        <w:t xml:space="preserve">for as long as it holds at least 5% of the Company on a fully diluted basis.</w:t>
      </w:r>
    </w:p>
    <w:p>
      <w:pPr>
        <w:spacing w:after="0" w:line="120" w:lineRule="auto"/>
      </w:pPr>
    </w:p>
    <w:p>
      <w:r>
        <w:t xml:space="preserve">All other SAFE holders investing $200,000 or more shall receive standard</w:t>
      </w:r>
    </w:p>
    <w:p>
      <w:r>
        <w:t xml:space="preserve">pro-rata rights (1x) in the next Equity Financing, without over-allocation.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COMPANY CAPITALIZATION</w:t>
      </w:r>
    </w:p>
    <w:p>
      <w:pPr>
        <w:spacing w:after="0" w:line="120" w:lineRule="auto"/>
      </w:pPr>
    </w:p>
    <w:p>
      <w:r>
        <w:rPr>
          <w:b/>
        </w:rPr>
        <w:t xml:space="preserve">Current (Pre-SAFE):</w:t>
      </w:r>
    </w:p>
    <w:p>
      <w:pPr>
        <w:pStyle w:val="ListBullet"/>
      </w:pPr>
      <w:r>
        <w:t xml:space="preserve">• </w:t>
      </w:r>
      <w:r>
        <w:t xml:space="preserve">Founders (Tariq Nassar, 50%; Michelle Park, 35%): 8,500,000 shares Common Stock</w:t>
      </w:r>
    </w:p>
    <w:p>
      <w:pPr>
        <w:pStyle w:val="ListBullet"/>
      </w:pPr>
      <w:r>
        <w:t xml:space="preserve">• </w:t>
      </w:r>
      <w:r>
        <w:t xml:space="preserve">Advisor Pool: 250,000 shares (100,000 vested, 150,000 unvested over 2 years)</w:t>
      </w:r>
    </w:p>
    <w:p>
      <w:pPr>
        <w:pStyle w:val="ListBullet"/>
      </w:pPr>
      <w:r>
        <w:t xml:space="preserve">• </w:t>
      </w:r>
      <w:r>
        <w:t xml:space="preserve">Unallocated Option Pool: 1,250,000 shares (12.5%)</w:t>
      </w:r>
    </w:p>
    <w:p>
      <w:pPr>
        <w:spacing w:after="0" w:line="120" w:lineRule="auto"/>
      </w:pPr>
    </w:p>
    <w:p>
      <w:r>
        <w:rPr>
          <w:b/>
        </w:rPr>
        <w:t xml:space="preserve">Post-SAFE (pre-conversion):</w:t>
      </w:r>
    </w:p>
    <w:p>
      <w:pPr>
        <w:pStyle w:val="ListBullet"/>
      </w:pPr>
      <w:r>
        <w:t xml:space="preserve">• </w:t>
      </w:r>
      <w:r>
        <w:t xml:space="preserve">SAFE holders represent 20% of post-money capitalization</w:t>
      </w:r>
    </w:p>
    <w:p>
      <w:pPr>
        <w:pStyle w:val="ListBullet"/>
      </w:pPr>
      <w:r>
        <w:t xml:space="preserve">• </w:t>
      </w:r>
      <w:r>
        <w:t xml:space="preserve">Founders + advisors + pool represent 80%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ADDITIONAL TERMS</w:t>
      </w:r>
    </w:p>
    <w:p>
      <w:pPr>
        <w:spacing w:after="0" w:line="120" w:lineRule="auto"/>
      </w:pPr>
    </w:p>
    <w:p>
      <w:r>
        <w:rPr>
          <w:b/>
        </w:rPr>
        <w:t xml:space="preserve">Founder Vesting:</w:t>
      </w:r>
      <w:r>
        <w:t xml:space="preserve"> Standard 4-year monthly vesting with 1-year cliff. Both</w:t>
      </w:r>
    </w:p>
    <w:p>
      <w:r>
        <w:t xml:space="preserve">founders' clocks started at incorporation (June 2025), with 6 months credited.</w:t>
      </w:r>
    </w:p>
    <w:p>
      <w:pPr>
        <w:spacing w:after="0" w:line="120" w:lineRule="auto"/>
      </w:pPr>
    </w:p>
    <w:p>
      <w:r>
        <w:rPr>
          <w:b/>
        </w:rPr>
        <w:t xml:space="preserve">Employee Matters:</w:t>
      </w:r>
    </w:p>
    <w:p>
      <w:pPr>
        <w:pStyle w:val="ListBullet"/>
      </w:pPr>
      <w:r>
        <w:t xml:space="preserve">• </w:t>
      </w:r>
      <w:r>
        <w:t xml:space="preserve">All employees sign CIIAs</w:t>
      </w:r>
    </w:p>
    <w:p>
      <w:pPr>
        <w:pStyle w:val="ListBullet"/>
      </w:pPr>
      <w:r>
        <w:t xml:space="preserve">• </w:t>
      </w:r>
      <w:r>
        <w:t xml:space="preserve">Standard 90-day post-termination exercise period for options</w:t>
      </w:r>
    </w:p>
    <w:p>
      <w:pPr>
        <w:pStyle w:val="ListBullet"/>
      </w:pPr>
      <w:r>
        <w:t xml:space="preserve">• </w:t>
      </w:r>
      <w:r>
        <w:t xml:space="preserve">Board to approve a formal equity incentive plan within 60 days of closing</w:t>
      </w:r>
    </w:p>
    <w:p>
      <w:pPr>
        <w:spacing w:after="0" w:line="120" w:lineRule="auto"/>
      </w:pPr>
    </w:p>
    <w:p>
      <w:r>
        <w:rPr>
          <w:b/>
        </w:rPr>
        <w:t xml:space="preserve">Expenses:</w:t>
      </w:r>
      <w:r>
        <w:t xml:space="preserve"> Company pays PVP's legal fees up to $10,000.</w:t>
      </w:r>
    </w:p>
    <w:p>
      <w:pPr>
        <w:spacing w:after="0" w:line="120" w:lineRule="auto"/>
      </w:pPr>
    </w:p>
    <w:p>
      <w:r>
        <w:rPr>
          <w:b/>
        </w:rPr>
        <w:t xml:space="preserve">Governing Law:</w:t>
      </w:r>
      <w:r>
        <w:t xml:space="preserve"> State of Delaware.</w:t>
      </w:r>
    </w:p>
    <w:p>
      <w:pPr>
        <w:spacing w:after="0" w:line="120" w:lineRule="auto"/>
      </w:pPr>
    </w:p>
    <w:p>
      <w:r>
        <w:rPr>
          <w:b/>
        </w:rPr>
        <w:t xml:space="preserve">No-Shop:</w:t>
      </w:r>
      <w:r>
        <w:t xml:space="preserve"> None. The Company is free to continue conversations with other</w:t>
      </w:r>
    </w:p>
    <w:p>
      <w:r>
        <w:t xml:space="preserve">investors and close additional SAFEs during the offering period.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r>
        <w:rPr>
          <w:b/>
        </w:rPr>
        <w:t xml:space="preserve">AGREED AND ACCEPTED:</w:t>
      </w:r>
    </w:p>
    <w:p>
      <w:pPr>
        <w:spacing w:after="0" w:line="120" w:lineRule="auto"/>
      </w:pPr>
    </w:p>
    <w:p>
      <w:r>
        <w:t xml:space="preserve">SkillForge, Inc.</w:t>
      </w:r>
    </w:p>
    <w:p>
      <w:pPr>
        <w:spacing w:after="0" w:line="120" w:lineRule="auto"/>
      </w:pPr>
    </w:p>
    <w:p>
      <w:r>
        <w:t xml:space="preserve">By: ___________________________</w:t>
      </w:r>
    </w:p>
    <w:p>
      <w:r>
        <w:t xml:space="preserve">Name: Tariq Nassar, CEO &amp; Co-Founder</w:t>
      </w:r>
    </w:p>
    <w:p>
      <w:r>
        <w:t xml:space="preserve">Date: January __, 2026</w:t>
      </w:r>
    </w:p>
    <w:p>
      <w:pPr>
        <w:spacing w:after="0" w:line="120" w:lineRule="auto"/>
      </w:pPr>
    </w:p>
    <w:p>
      <w:r>
        <w:t xml:space="preserve">Primary Venture Partners Fund III, L.P.</w:t>
      </w:r>
    </w:p>
    <w:p>
      <w:pPr>
        <w:spacing w:after="0" w:line="120" w:lineRule="auto"/>
      </w:pPr>
    </w:p>
    <w:p>
      <w:r>
        <w:t xml:space="preserve">By: ___________________________</w:t>
      </w:r>
    </w:p>
    <w:p>
      <w:r>
        <w:t xml:space="preserve">Name: Ben Ling, Managing Partner</w:t>
      </w:r>
    </w:p>
    <w:p>
      <w:r>
        <w:t xml:space="preserve">Date: January __, 2026</w:t>
      </w:r>
    </w:p>
    <w:p>
      <w:pPr>
        <w:spacing w:after="0" w:line="120" w:lineRule="auto"/>
      </w:pP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Normal">
    <w:name w:val="Normal"/>
    <w:qFormat/>
  </w:style>
  <w:style w:type="paragraph" w:styleId="Heading1">
    <w:name w:val="heading 1"/>
    <w:qFormat/>
    <w:pPr>
      <w:spacing w:before="360" w:after="120"/>
    </w:pPr>
    <w:rPr>
      <w:rFonts w:ascii="Calibri" w:hAnsi="Calibri"/>
      <w:b/>
      <w:color w:val="1F3864"/>
      <w:sz w:val="36"/>
      <w:szCs w:val="36"/>
    </w:rPr>
  </w:style>
  <w:style w:type="paragraph" w:styleId="Heading2">
    <w:name w:val="heading 2"/>
    <w:qFormat/>
    <w:pPr>
      <w:spacing w:before="240" w:after="80"/>
    </w:pPr>
    <w:rPr>
      <w:rFonts w:ascii="Calibri" w:hAnsi="Calibri"/>
      <w:b/>
      <w:color w:val="2E75B6"/>
      <w:sz w:val="28"/>
      <w:szCs w:val="28"/>
    </w:rPr>
  </w:style>
  <w:style w:type="paragraph" w:styleId="Heading3">
    <w:name w:val="heading 3"/>
    <w:qFormat/>
    <w:pPr>
      <w:spacing w:before="200" w:after="60"/>
    </w:pPr>
    <w:rPr>
      <w:rFonts w:ascii="Calibri" w:hAnsi="Calibri"/>
      <w:b/>
      <w:color w:val="404040"/>
      <w:sz w:val="24"/>
      <w:szCs w:val="24"/>
    </w:rPr>
  </w:style>
  <w:style w:type="paragraph" w:styleId="ListBullet">
    <w:name w:val="List Bullet"/>
    <w:pPr>
      <w:ind w:left="720" w:hanging="360"/>
      <w:spacing w:after="60"/>
    </w:pPr>
  </w:style>
  <w:style w:type="paragraph" w:styleId="HorizontalRule">
    <w:name w:val="Horizontal Rule"/>
    <w:pPr>
      <w:pBdr>
        <w:bottom w:val="single" w:sz="6" w:space="1" w:color="CCCCCC"/>
      </w:pBdr>
      <w:spacing w:before="120" w:after="120"/>
    </w:pPr>
    <w:rPr>
      <w:sz w:val="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