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CONVERTIBLE NOTE TERM SHEET</w:t>
      </w:r>
    </w:p>
    <w:p>
      <w:pPr>
        <w:pStyle w:val="Heading2"/>
      </w:pPr>
      <w:r>
        <w:t xml:space="preserve">VaultSync, Inc. — Series A Bridge Financing</w:t>
      </w:r>
    </w:p>
    <w:p>
      <w:pPr>
        <w:spacing w:after="0" w:line="120" w:lineRule="auto"/>
      </w:pPr>
    </w:p>
    <w:p>
      <w:r>
        <w:rPr>
          <w:b/>
        </w:rPr>
        <w:t xml:space="preserve">Date:</w:t>
      </w:r>
      <w:r>
        <w:t xml:space="preserve"> February 10, 2026</w:t>
      </w:r>
    </w:p>
    <w:p>
      <w:r>
        <w:rPr>
          <w:b/>
        </w:rPr>
        <w:t xml:space="preserve">Confidential</w:t>
      </w:r>
    </w:p>
    <w:p>
      <w:pPr>
        <w:spacing w:after="0" w:line="120" w:lineRule="auto"/>
      </w:pPr>
    </w:p>
    <w:p>
      <w:r>
        <w:t xml:space="preserve">This Term Sheet summarizes the proposed terms of a convertible promissory note</w:t>
      </w:r>
    </w:p>
    <w:p>
      <w:r>
        <w:t xml:space="preserve">offering by VaultSync, Inc., a Delaware corporation (the "Company"). This</w:t>
      </w:r>
    </w:p>
    <w:p>
      <w:r>
        <w:t xml:space="preserve">document is non-binding except for "No-Shop," "Confidentiality," and "Expenses."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OFFERING TERMS</w:t>
      </w:r>
    </w:p>
    <w:p>
      <w:pPr>
        <w:spacing w:after="0" w:line="120" w:lineRule="auto"/>
      </w:pPr>
    </w:p>
    <w:p>
      <w:r>
        <w:rPr>
          <w:b/>
        </w:rPr>
        <w:t xml:space="preserve">Issuer:</w:t>
      </w:r>
      <w:r>
        <w:t xml:space="preserve"> VaultSync, Inc.</w:t>
      </w:r>
    </w:p>
    <w:p>
      <w:pPr>
        <w:spacing w:after="0" w:line="120" w:lineRule="auto"/>
      </w:pPr>
    </w:p>
    <w:p>
      <w:r>
        <w:rPr>
          <w:b/>
        </w:rPr>
        <w:t xml:space="preserve">Security:</w:t>
      </w:r>
      <w:r>
        <w:t xml:space="preserve"> Convertible Promissory Notes (the "Notes")</w:t>
      </w:r>
    </w:p>
    <w:p>
      <w:pPr>
        <w:spacing w:after="0" w:line="120" w:lineRule="auto"/>
      </w:pPr>
    </w:p>
    <w:p>
      <w:r>
        <w:rPr>
          <w:b/>
        </w:rPr>
        <w:t xml:space="preserve">Aggregate Principal Amount:</w:t>
      </w:r>
      <w:r>
        <w:t xml:space="preserve"> Up to $4,000,000</w:t>
      </w:r>
    </w:p>
    <w:p>
      <w:pPr>
        <w:spacing w:after="0" w:line="120" w:lineRule="auto"/>
      </w:pPr>
    </w:p>
    <w:p>
      <w:r>
        <w:rPr>
          <w:b/>
        </w:rPr>
        <w:t xml:space="preserve">Closing:</w:t>
      </w:r>
      <w:r>
        <w:t xml:space="preserve"> Initial closing on or before March 15, 2026, with one or more</w:t>
      </w:r>
    </w:p>
    <w:p>
      <w:r>
        <w:t xml:space="preserve">subsequent closings within 60 days of the initial closing</w:t>
      </w:r>
    </w:p>
    <w:p>
      <w:pPr>
        <w:spacing w:after="0" w:line="120" w:lineRule="auto"/>
      </w:pPr>
    </w:p>
    <w:p>
      <w:r>
        <w:rPr>
          <w:b/>
        </w:rPr>
        <w:t xml:space="preserve">Investors: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4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Investor</w:t>
            </w:r>
          </w:p>
        </w:tc>
        <w:tc>
          <w:tcPr>
            <w:tcW w:w="4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Amount</w:t>
            </w:r>
          </w:p>
        </w:tc>
      </w:tr>
      <w:tr>
        <w:tc>
          <w:tcPr>
            <w:tcW w:w="4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Accel Partners (Lead)</w:t>
            </w:r>
          </w:p>
        </w:tc>
        <w:tc>
          <w:tcPr>
            <w:tcW w:w="4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$2,500,000</w:t>
            </w:r>
          </w:p>
        </w:tc>
      </w:tr>
      <w:tr>
        <w:tc>
          <w:tcPr>
            <w:tcW w:w="4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Haystack Ventures</w:t>
            </w:r>
          </w:p>
        </w:tc>
        <w:tc>
          <w:tcPr>
            <w:tcW w:w="4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$750,000</w:t>
            </w:r>
          </w:p>
        </w:tc>
      </w:tr>
      <w:tr>
        <w:tc>
          <w:tcPr>
            <w:tcW w:w="4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Semil Shah (individual)</w:t>
            </w:r>
          </w:p>
        </w:tc>
        <w:tc>
          <w:tcPr>
            <w:tcW w:w="4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$400,000</w:t>
            </w:r>
          </w:p>
        </w:tc>
      </w:tr>
      <w:tr>
        <w:tc>
          <w:tcPr>
            <w:tcW w:w="4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Founders' Friends &amp; Family</w:t>
            </w:r>
          </w:p>
        </w:tc>
        <w:tc>
          <w:tcPr>
            <w:tcW w:w="4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$350,000</w:t>
            </w:r>
          </w:p>
        </w:tc>
      </w:tr>
      <w:tr>
        <w:tc>
          <w:tcPr>
            <w:tcW w:w="4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**Total**</w:t>
            </w:r>
          </w:p>
        </w:tc>
        <w:tc>
          <w:tcPr>
            <w:tcW w:w="4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**$4,000,000**</w:t>
            </w:r>
          </w:p>
        </w:tc>
      </w:tr>
    </w:tbl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NOTE TERMS</w:t>
      </w:r>
    </w:p>
    <w:p>
      <w:pPr>
        <w:spacing w:after="0" w:line="120" w:lineRule="auto"/>
      </w:pPr>
    </w:p>
    <w:p>
      <w:r>
        <w:rPr>
          <w:b/>
        </w:rPr>
        <w:t xml:space="preserve">Maturity Date:</w:t>
      </w:r>
      <w:r>
        <w:t xml:space="preserve"> 18 months from the initial closing date (September 15, 2027).</w:t>
      </w:r>
    </w:p>
    <w:p>
      <w:r>
        <w:t xml:space="preserve">All outstanding principal and accrued interest shall be due and payable on the</w:t>
      </w:r>
    </w:p>
    <w:p>
      <w:r>
        <w:t xml:space="preserve">Maturity Date unless previously converted.</w:t>
      </w:r>
    </w:p>
    <w:p>
      <w:pPr>
        <w:spacing w:after="0" w:line="120" w:lineRule="auto"/>
      </w:pPr>
    </w:p>
    <w:p>
      <w:r>
        <w:rPr>
          <w:b/>
        </w:rPr>
        <w:t xml:space="preserve">Interest Rate:</w:t>
      </w:r>
      <w:r>
        <w:t xml:space="preserve"> 8% per annum, simple interest, accruing from the date of</w:t>
      </w:r>
    </w:p>
    <w:p>
      <w:r>
        <w:t xml:space="preserve">issuance. Interest is not payable in cash but converts to equity alongside</w:t>
      </w:r>
    </w:p>
    <w:p>
      <w:r>
        <w:t xml:space="preserve">principal upon a Qualified Financing or at maturity.</w:t>
      </w:r>
    </w:p>
    <w:p>
      <w:pPr>
        <w:spacing w:after="0" w:line="120" w:lineRule="auto"/>
      </w:pPr>
    </w:p>
    <w:p>
      <w:r>
        <w:rPr>
          <w:b/>
        </w:rPr>
        <w:t xml:space="preserve">Valuation Cap:</w:t>
      </w:r>
      <w:r>
        <w:t xml:space="preserve"> $50,000,000 pre-money valuation</w:t>
      </w:r>
    </w:p>
    <w:p>
      <w:pPr>
        <w:spacing w:after="0" w:line="120" w:lineRule="auto"/>
      </w:pPr>
    </w:p>
    <w:p>
      <w:r>
        <w:rPr>
          <w:b/>
        </w:rPr>
        <w:t xml:space="preserve">Discount Rate:</w:t>
      </w:r>
      <w:r>
        <w:t xml:space="preserve"> 25% discount to the price per share in the Qualified</w:t>
      </w:r>
    </w:p>
    <w:p>
      <w:r>
        <w:t xml:space="preserve">Financing</w:t>
      </w:r>
    </w:p>
    <w:p>
      <w:pPr>
        <w:spacing w:after="0" w:line="120" w:lineRule="auto"/>
      </w:pPr>
    </w:p>
    <w:p>
      <w:r>
        <w:rPr>
          <w:b/>
        </w:rPr>
        <w:t xml:space="preserve">Conversion Price:</w:t>
      </w:r>
      <w:r>
        <w:t xml:space="preserve"> The lower of (i) the price obtained by dividing the</w:t>
      </w:r>
    </w:p>
    <w:p>
      <w:r>
        <w:t xml:space="preserve">Valuation Cap by the fully diluted pre-money capitalization at the time of the</w:t>
      </w:r>
    </w:p>
    <w:p>
      <w:r>
        <w:t xml:space="preserve">Qualified Financing, or (ii) 75% (reflecting the 25% discount) of the price</w:t>
      </w:r>
    </w:p>
    <w:p>
      <w:r>
        <w:t xml:space="preserve">per share paid by new investors in the Qualified Financing.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CONVERSION EVENTS</w:t>
      </w:r>
    </w:p>
    <w:p>
      <w:pPr>
        <w:spacing w:after="0" w:line="120" w:lineRule="auto"/>
      </w:pPr>
    </w:p>
    <w:p>
      <w:r>
        <w:rPr>
          <w:b/>
        </w:rPr>
        <w:t xml:space="preserve">Qualified Financing:</w:t>
      </w:r>
      <w:r>
        <w:t xml:space="preserve"> An equity financing of at least $8,000,000 in gross</w:t>
      </w:r>
    </w:p>
    <w:p>
      <w:r>
        <w:t xml:space="preserve">proceeds (excluding conversion of the Notes and any other convertible</w:t>
      </w:r>
    </w:p>
    <w:p>
      <w:r>
        <w:t xml:space="preserve">instruments). Upon a Qualified Financing, all outstanding Notes shall</w:t>
      </w:r>
    </w:p>
    <w:p>
      <w:r>
        <w:t xml:space="preserve">automatically convert into the equity securities sold in such financing at the</w:t>
      </w:r>
    </w:p>
    <w:p>
      <w:r>
        <w:t xml:space="preserve">Conversion Price.</w:t>
      </w:r>
    </w:p>
    <w:p>
      <w:pPr>
        <w:spacing w:after="0" w:line="120" w:lineRule="auto"/>
      </w:pPr>
    </w:p>
    <w:p>
      <w:r>
        <w:rPr>
          <w:b/>
        </w:rPr>
        <w:t xml:space="preserve">Non-Qualified Financing:</w:t>
      </w:r>
      <w:r>
        <w:t xml:space="preserve"> If the Company raises equity financing of less</w:t>
      </w:r>
    </w:p>
    <w:p>
      <w:r>
        <w:t xml:space="preserve">than $8,000,000, the Notes shall convert at the option of each holder (not</w:t>
      </w:r>
    </w:p>
    <w:p>
      <w:r>
        <w:t xml:space="preserve">automatic) at the Conversion Price. Each holder may elect to convert or to</w:t>
      </w:r>
    </w:p>
    <w:p>
      <w:r>
        <w:t xml:space="preserve">continue holding the Note until Maturity.</w:t>
      </w:r>
    </w:p>
    <w:p>
      <w:pPr>
        <w:spacing w:after="0" w:line="120" w:lineRule="auto"/>
      </w:pPr>
    </w:p>
    <w:p>
      <w:r>
        <w:rPr>
          <w:b/>
        </w:rPr>
        <w:t xml:space="preserve">Change of Control:</w:t>
      </w:r>
      <w:r>
        <w:t xml:space="preserve"> Upon a merger, acquisition, or sale of substantially all</w:t>
      </w:r>
    </w:p>
    <w:p>
      <w:r>
        <w:t xml:space="preserve">assets before conversion, each holder may elect to either: (i) receive 2.0x the</w:t>
      </w:r>
    </w:p>
    <w:p>
      <w:r>
        <w:t xml:space="preserve">outstanding principal plus accrued interest in cash, or (ii) convert the Note</w:t>
      </w:r>
    </w:p>
    <w:p>
      <w:r>
        <w:t xml:space="preserve">into Common Stock at the Conversion Price using only the Valuation Cap (without</w:t>
      </w:r>
    </w:p>
    <w:p>
      <w:r>
        <w:t xml:space="preserve">discount).</w:t>
      </w:r>
    </w:p>
    <w:p>
      <w:pPr>
        <w:spacing w:after="0" w:line="120" w:lineRule="auto"/>
      </w:pPr>
    </w:p>
    <w:p>
      <w:r>
        <w:rPr>
          <w:b/>
        </w:rPr>
        <w:t xml:space="preserve">Maturity:</w:t>
      </w:r>
      <w:r>
        <w:t xml:space="preserve"> If Notes have not converted or been repaid prior to the Maturity</w:t>
      </w:r>
    </w:p>
    <w:p>
      <w:r>
        <w:t xml:space="preserve">Date, each holder may elect to either: (i) demand repayment of principal plus</w:t>
      </w:r>
    </w:p>
    <w:p>
      <w:r>
        <w:t xml:space="preserve">accrued interest, or (ii) convert at the Valuation Cap price into Seed Preferred</w:t>
      </w:r>
    </w:p>
    <w:p>
      <w:r>
        <w:t xml:space="preserve">Stock with 1x non-participating liquidation preference and standard terms.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MOST-FAVORED-NATION (MFN) CLAUSE</w:t>
      </w:r>
    </w:p>
    <w:p>
      <w:pPr>
        <w:spacing w:after="0" w:line="120" w:lineRule="auto"/>
      </w:pPr>
    </w:p>
    <w:p>
      <w:r>
        <w:t xml:space="preserve">If the Company issues any convertible note, SAFE, or similar instrument after</w:t>
      </w:r>
    </w:p>
    <w:p>
      <w:r>
        <w:t xml:space="preserve">the closing of the Notes with terms more favorable to the investors thereof</w:t>
      </w:r>
    </w:p>
    <w:p>
      <w:r>
        <w:t xml:space="preserve">(including a lower valuation cap, higher discount rate, or additional investor</w:t>
      </w:r>
    </w:p>
    <w:p>
      <w:r>
        <w:t xml:space="preserve">rights), each Note holder may elect to amend their Note to adopt any or all of</w:t>
      </w:r>
    </w:p>
    <w:p>
      <w:r>
        <w:t xml:space="preserve">such more favorable terms. This MFN right applies individually and is not an</w:t>
      </w:r>
    </w:p>
    <w:p>
      <w:r>
        <w:t xml:space="preserve">all-or-nothing election; holders may cherry-pick specific terms.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PRO-RATA RIGHTS</w:t>
      </w:r>
    </w:p>
    <w:p>
      <w:pPr>
        <w:spacing w:after="0" w:line="120" w:lineRule="auto"/>
      </w:pPr>
    </w:p>
    <w:p>
      <w:r>
        <w:t xml:space="preserve">All Note holders (not just Major Investors) shall have the right to participate</w:t>
      </w:r>
    </w:p>
    <w:p>
      <w:r>
        <w:t xml:space="preserve">pro rata in the Qualified Financing based on their as-converted ownership</w:t>
      </w:r>
    </w:p>
    <w:p>
      <w:r>
        <w:t xml:space="preserve">percentage at the time of the Qualified Financing. This right extends to the</w:t>
      </w:r>
    </w:p>
    <w:p>
      <w:r>
        <w:t xml:space="preserve">Qualified Financing only and does not carry forward to subsequent rounds unless</w:t>
      </w:r>
    </w:p>
    <w:p>
      <w:r>
        <w:t xml:space="preserve">separately negotiated.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ADDITIONAL TERMS</w:t>
      </w:r>
    </w:p>
    <w:p>
      <w:pPr>
        <w:spacing w:after="0" w:line="120" w:lineRule="auto"/>
      </w:pPr>
    </w:p>
    <w:p>
      <w:r>
        <w:rPr>
          <w:b/>
        </w:rPr>
        <w:t xml:space="preserve">Subordination:</w:t>
      </w:r>
      <w:r>
        <w:t xml:space="preserve"> The Notes shall be subordinate to any senior indebtedness</w:t>
      </w:r>
    </w:p>
    <w:p>
      <w:r>
        <w:t xml:space="preserve">approved by the Board, including revolving credit facilities up to $2,000,000.</w:t>
      </w:r>
    </w:p>
    <w:p>
      <w:pPr>
        <w:spacing w:after="0" w:line="120" w:lineRule="auto"/>
      </w:pPr>
    </w:p>
    <w:p>
      <w:r>
        <w:rPr>
          <w:b/>
        </w:rPr>
        <w:t xml:space="preserve">No Prepayment:</w:t>
      </w:r>
      <w:r>
        <w:t xml:space="preserve"> The Company may not prepay the Notes without the consent of</w:t>
      </w:r>
    </w:p>
    <w:p>
      <w:r>
        <w:t xml:space="preserve">holders of a majority of the outstanding principal.</w:t>
      </w:r>
    </w:p>
    <w:p>
      <w:pPr>
        <w:spacing w:after="0" w:line="120" w:lineRule="auto"/>
      </w:pPr>
    </w:p>
    <w:p>
      <w:r>
        <w:rPr>
          <w:b/>
        </w:rPr>
        <w:t xml:space="preserve">Board Rights:</w:t>
      </w:r>
      <w:r>
        <w:t xml:space="preserve"> None. Accel shall receive standard information rights (monthly</w:t>
      </w:r>
    </w:p>
    <w:p>
      <w:r>
        <w:t xml:space="preserve">financial statements and quarterly updates) but no Board seat or observer right</w:t>
      </w:r>
    </w:p>
    <w:p>
      <w:r>
        <w:t xml:space="preserve">prior to conversion.</w:t>
      </w:r>
    </w:p>
    <w:p>
      <w:pPr>
        <w:spacing w:after="0" w:line="120" w:lineRule="auto"/>
      </w:pPr>
    </w:p>
    <w:p>
      <w:r>
        <w:rPr>
          <w:b/>
        </w:rPr>
        <w:t xml:space="preserve">Information Rights:</w:t>
      </w:r>
      <w:r>
        <w:t xml:space="preserve"> Monthly unaudited financial statements within 25 days of</w:t>
      </w:r>
    </w:p>
    <w:p>
      <w:r>
        <w:t xml:space="preserve">month-end. Quarterly management update within 30 days of quarter-end. Annual</w:t>
      </w:r>
    </w:p>
    <w:p>
      <w:r>
        <w:t xml:space="preserve">operating budget within 30 days of fiscal year start.</w:t>
      </w:r>
    </w:p>
    <w:p>
      <w:pPr>
        <w:spacing w:after="0" w:line="120" w:lineRule="auto"/>
      </w:pPr>
    </w:p>
    <w:p>
      <w:r>
        <w:rPr>
          <w:b/>
        </w:rPr>
        <w:t xml:space="preserve">No-Shop:</w:t>
      </w:r>
      <w:r>
        <w:t xml:space="preserve"> 45 days from execution of this Term Sheet. Company shall not</w:t>
      </w:r>
    </w:p>
    <w:p>
      <w:r>
        <w:t xml:space="preserve">solicit or enter into any term sheet or binding agreement for an equity</w:t>
      </w:r>
    </w:p>
    <w:p>
      <w:r>
        <w:t xml:space="preserve">financing, convertible instrument, or debt facility during this period.</w:t>
      </w:r>
    </w:p>
    <w:p>
      <w:pPr>
        <w:spacing w:after="0" w:line="120" w:lineRule="auto"/>
      </w:pPr>
    </w:p>
    <w:p>
      <w:r>
        <w:rPr>
          <w:b/>
        </w:rPr>
        <w:t xml:space="preserve">Key Covenants (pre-conversion):</w:t>
      </w:r>
    </w:p>
    <w:p>
      <w:pPr>
        <w:pStyle w:val="ListBullet"/>
      </w:pPr>
      <w:r>
        <w:t xml:space="preserve">• </w:t>
      </w:r>
      <w:r>
        <w:t xml:space="preserve">No change of CEO without Accel's consent</w:t>
      </w:r>
    </w:p>
    <w:p>
      <w:pPr>
        <w:pStyle w:val="ListBullet"/>
      </w:pPr>
      <w:r>
        <w:t xml:space="preserve">• </w:t>
      </w:r>
      <w:r>
        <w:t xml:space="preserve">No incurrence of debt exceeding $500,000 (other than the Notes) without</w:t>
      </w:r>
    </w:p>
    <w:p>
      <w:r>
        <w:t xml:space="preserve">consent of holders of a majority of outstanding principal</w:t>
      </w:r>
    </w:p>
    <w:p>
      <w:pPr>
        <w:pStyle w:val="ListBullet"/>
      </w:pPr>
      <w:r>
        <w:t xml:space="preserve">• </w:t>
      </w:r>
      <w:r>
        <w:t xml:space="preserve">No issuance of equity securities (other than under the employee incentive plan)</w:t>
      </w:r>
    </w:p>
    <w:p>
      <w:r>
        <w:t xml:space="preserve">without consent of a majority of Note holders</w:t>
      </w:r>
    </w:p>
    <w:p>
      <w:pPr>
        <w:pStyle w:val="ListBullet"/>
      </w:pPr>
      <w:r>
        <w:t xml:space="preserve">• </w:t>
      </w:r>
      <w:r>
        <w:t xml:space="preserve">Annual operating expenses shall not exceed 110% of the Board-approved budget</w:t>
      </w:r>
    </w:p>
    <w:p>
      <w:r>
        <w:t xml:space="preserve">without prior Board approval</w:t>
      </w:r>
    </w:p>
    <w:p>
      <w:pPr>
        <w:spacing w:after="0" w:line="120" w:lineRule="auto"/>
      </w:pPr>
    </w:p>
    <w:p>
      <w:r>
        <w:rPr>
          <w:b/>
        </w:rPr>
        <w:t xml:space="preserve">Expenses:</w:t>
      </w:r>
      <w:r>
        <w:t xml:space="preserve"> Company to pay Accel's legal fees up to $20,000, payable at</w:t>
      </w:r>
    </w:p>
    <w:p>
      <w:r>
        <w:t xml:space="preserve">closing.</w:t>
      </w:r>
    </w:p>
    <w:p>
      <w:pPr>
        <w:spacing w:after="0" w:line="120" w:lineRule="auto"/>
      </w:pPr>
    </w:p>
    <w:p>
      <w:r>
        <w:rPr>
          <w:b/>
        </w:rPr>
        <w:t xml:space="preserve">Closing Conditions:</w:t>
      </w:r>
    </w:p>
    <w:p>
      <w:pPr>
        <w:pStyle w:val="ListBullet"/>
      </w:pPr>
      <w:r>
        <w:t xml:space="preserve">• </w:t>
      </w:r>
      <w:r>
        <w:t xml:space="preserve">Satisfactory completion of confirmatory due diligence</w:t>
      </w:r>
    </w:p>
    <w:p>
      <w:pPr>
        <w:pStyle w:val="ListBullet"/>
      </w:pPr>
      <w:r>
        <w:t xml:space="preserve">• </w:t>
      </w:r>
      <w:r>
        <w:t xml:space="preserve">Execution of Note Purchase Agreement</w:t>
      </w:r>
    </w:p>
    <w:p>
      <w:pPr>
        <w:pStyle w:val="ListBullet"/>
      </w:pPr>
      <w:r>
        <w:t xml:space="preserve">• </w:t>
      </w:r>
      <w:r>
        <w:t xml:space="preserve">Company representations and warranties</w:t>
      </w:r>
    </w:p>
    <w:p>
      <w:pPr>
        <w:pStyle w:val="ListBullet"/>
      </w:pPr>
      <w:r>
        <w:t xml:space="preserve">• </w:t>
      </w:r>
      <w:r>
        <w:t xml:space="preserve">Receipt of legal opinion from Company counsel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CAPITALIZATION (estimated post-conversion at Qualified Financing)</w:t>
      </w:r>
    </w:p>
    <w:p>
      <w:pPr>
        <w:spacing w:after="0" w:line="120" w:lineRule="auto"/>
      </w:pPr>
    </w:p>
    <w:p>
      <w:r>
        <w:t xml:space="preserve">Assuming a $15,000,000 Series A at the $50M cap, the Notes would convert at</w:t>
      </w:r>
    </w:p>
    <w:p>
      <w:r>
        <w:t xml:space="preserve">approximately $3.33/share, yielding approximately 1,308,000 shares (including</w:t>
      </w:r>
    </w:p>
    <w:p>
      <w:r>
        <w:t xml:space="preserve">interest). Actual conversion depends on pricing and timing.</w:t>
      </w:r>
    </w:p>
    <w:p>
      <w:pPr>
        <w:spacing w:after="0" w:line="120" w:lineRule="auto"/>
      </w:pPr>
    </w:p>
    <w:p>
      <w:r>
        <w:rPr>
          <w:b/>
        </w:rPr>
        <w:t xml:space="preserve">Current Capitalization (pre-Note):</w:t>
      </w:r>
    </w:p>
    <w:p>
      <w:pPr>
        <w:pStyle w:val="ListBullet"/>
      </w:pPr>
      <w:r>
        <w:t xml:space="preserve">• </w:t>
      </w:r>
      <w:r>
        <w:t xml:space="preserve">Founders (Kai Nakamura, 52%; Elena Vasquez, 33%): 8,500,000 shares</w:t>
      </w:r>
    </w:p>
    <w:p>
      <w:pPr>
        <w:pStyle w:val="ListBullet"/>
      </w:pPr>
      <w:r>
        <w:t xml:space="preserve">• </w:t>
      </w:r>
      <w:r>
        <w:t xml:space="preserve">Seed Investors (SAFE holders): 750,000 shares (at $12M cap from 2024)</w:t>
      </w:r>
    </w:p>
    <w:p>
      <w:pPr>
        <w:pStyle w:val="ListBullet"/>
      </w:pPr>
      <w:r>
        <w:t xml:space="preserve">• </w:t>
      </w:r>
      <w:r>
        <w:t xml:space="preserve">Employee Option Pool: 500,000 shares (granted)</w:t>
      </w:r>
    </w:p>
    <w:p>
      <w:pPr>
        <w:pStyle w:val="ListBullet"/>
      </w:pPr>
      <w:r>
        <w:t xml:space="preserve">• </w:t>
      </w:r>
      <w:r>
        <w:t xml:space="preserve">Unallocated Pool: 250,000 shares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r>
        <w:rPr>
          <w:i/>
        </w:rPr>
        <w:t xml:space="preserve">Governed by the laws of the State of Delaware.</w:t>
      </w:r>
    </w:p>
    <w:p>
      <w:pPr>
        <w:spacing w:after="0" w:line="120" w:lineRule="auto"/>
      </w:pPr>
    </w:p>
    <w:p>
      <w:r>
        <w:rPr>
          <w:b/>
        </w:rPr>
        <w:t xml:space="preserve">AGREED AND ACCEPTED:</w:t>
      </w:r>
    </w:p>
    <w:p>
      <w:pPr>
        <w:spacing w:after="0" w:line="120" w:lineRule="auto"/>
      </w:pPr>
    </w:p>
    <w:p>
      <w:r>
        <w:t xml:space="preserve">VaultSync, Inc.</w:t>
      </w:r>
    </w:p>
    <w:p>
      <w:pPr>
        <w:spacing w:after="0" w:line="120" w:lineRule="auto"/>
      </w:pPr>
    </w:p>
    <w:p>
      <w:r>
        <w:t xml:space="preserve">By: ___________________________</w:t>
      </w:r>
    </w:p>
    <w:p>
      <w:r>
        <w:t xml:space="preserve">Name: Kai Nakamura, CEO &amp; Co-Founder</w:t>
      </w:r>
    </w:p>
    <w:p>
      <w:r>
        <w:t xml:space="preserve">Date: February __, 2026</w:t>
      </w:r>
    </w:p>
    <w:p>
      <w:pPr>
        <w:spacing w:after="0" w:line="120" w:lineRule="auto"/>
      </w:pPr>
    </w:p>
    <w:p>
      <w:r>
        <w:t xml:space="preserve">Accel Leaders Fund IV, L.P.</w:t>
      </w:r>
    </w:p>
    <w:p>
      <w:pPr>
        <w:spacing w:after="0" w:line="120" w:lineRule="auto"/>
      </w:pPr>
    </w:p>
    <w:p>
      <w:r>
        <w:t xml:space="preserve">By: ___________________________</w:t>
      </w:r>
    </w:p>
    <w:p>
      <w:r>
        <w:t xml:space="preserve">Name: Rich Wong, Partner</w:t>
      </w:r>
    </w:p>
    <w:p>
      <w:r>
        <w:t xml:space="preserve">Date: February __, 2026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