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8987A5">
      <w:pPr>
        <w:jc w:val="center"/>
      </w:pPr>
      <w:r>
        <w:rPr>
          <w:rFonts w:ascii="Times New Roman" w:hAnsi="Times New Roman" w:eastAsia="黑体"/>
          <w:b/>
          <w:sz w:val="36"/>
        </w:rPr>
        <w:t>FlashGlyph：面向可读性的对齐—语义—拓扑三重约束少步蒸馏框架</w:t>
      </w:r>
      <w:r>
        <w:rPr>
          <w:rFonts w:ascii="Times New Roman" w:hAnsi="Times New Roman" w:eastAsia="黑体"/>
          <w:b/>
          <w:sz w:val="36"/>
        </w:rPr>
        <w:br w:type="textWrapping"/>
      </w:r>
      <w:r>
        <w:rPr>
          <w:rFonts w:ascii="Times New Roman" w:hAnsi="Times New Roman" w:eastAsia="黑体"/>
          <w:b/>
          <w:sz w:val="36"/>
        </w:rPr>
        <w:t>（FlashGlyph: Readability-Driven Triple-Constraint Few-Step Distillation Framework for Scene Text Editing）</w:t>
      </w:r>
    </w:p>
    <w:p w14:paraId="1D0C22CC">
      <w:pPr>
        <w:jc w:val="center"/>
      </w:pPr>
      <w:r>
        <w:rPr>
          <w:rFonts w:ascii="Times New Roman" w:hAnsi="Times New Roman" w:eastAsia="宋体"/>
          <w:sz w:val="22"/>
        </w:rPr>
        <w:t>张三¹，李四¹，王五²</w:t>
      </w:r>
    </w:p>
    <w:p w14:paraId="43B262ED">
      <w:pPr>
        <w:jc w:val="center"/>
      </w:pPr>
      <w:r>
        <w:rPr>
          <w:rFonts w:ascii="Times New Roman" w:hAnsi="Times New Roman" w:eastAsia="宋体"/>
          <w:sz w:val="21"/>
        </w:rPr>
        <w:t>(1. XXX大学 XXX学院，XXX 000000；2. XXX研究院，XXX 000000)</w:t>
      </w:r>
    </w:p>
    <w:p w14:paraId="4E1EF758"/>
    <w:p w14:paraId="4A8320C1">
      <w:pPr>
        <w:pStyle w:val="3"/>
      </w:pPr>
      <w:r>
        <w:rPr>
          <w:rFonts w:ascii="Times New Roman" w:hAnsi="Times New Roman" w:eastAsia="黑体"/>
          <w:sz w:val="28"/>
        </w:rPr>
        <w:t>摘 要</w:t>
      </w:r>
    </w:p>
    <w:p w14:paraId="622B6A86">
      <w:pPr>
        <w:spacing w:after="120" w:line="324" w:lineRule="auto"/>
        <w:ind w:firstLine="420"/>
      </w:pPr>
      <w:r>
        <w:rPr>
          <w:rFonts w:ascii="Times New Roman" w:hAnsi="Times New Roman" w:eastAsia="宋体"/>
          <w:sz w:val="22"/>
        </w:rPr>
        <w:t>场景文本编辑旨在保持背景一致性的前提下，对图像中的文本进行精准插入或替换。以 AnyText2 为代表的扩散式专用模型在字形可控与融合质量方面表现突出，但通常依赖 20～50 步迭代采样，高昂的端到端延迟限制了其实时交互应用。近年来，潜在一致性模型（Latent Consistency Model, LCM）虽能将推理压缩至 1～4 步，但在文本编辑任务中常出现显著的结构性退化，表现为字符位置漂移、字形语义错误（伪字符）以及笔画断裂或粘连等拓扑损伤。针对上述问题，本文提出 FlashGlyph：一种面向场景文本编辑的可读性保持少步蒸馏框架。FlashGlyph 在 LCM-LoRA 一致性蒸馏基础上构建“对齐—语义—拓扑”三重约束：（1）注意力对齐蒸馏，在控制分支 Cross-Attention 层对齐教师与学生的“字形 token—空间区域”响应分布，抑制少步推理下的位置漂移与重影；（2）OCR-CTC 语义监督，引入冻结识别器对生成文本区域施加序列监督，迫使学生学习正确字符序列表征而非纹理；（3）拓扑一致性约束，利用软骨架化与 clDice 损失显式约束笔画连通性，针对性修复断笔与孔洞闭合问题；此外，本文提供可选的频域/边界梯度损失作为轻量锐化项用于“抛光”。实验在 AnyWord-3M 数据集上开展（V1.1，约 3.03M 图像、900 万行文本），结果表明：在 4 步推理设置下，FlashGlyph 在外部 OCR 可读性与视觉质量之间取得更优折中，并显著降低端到端推理延迟。</w:t>
      </w:r>
    </w:p>
    <w:p w14:paraId="4F4C0B48">
      <w:pPr>
        <w:spacing w:after="120" w:line="324" w:lineRule="auto"/>
      </w:pPr>
      <w:r>
        <w:rPr>
          <w:rFonts w:ascii="Times New Roman" w:hAnsi="Times New Roman" w:eastAsia="宋体"/>
          <w:sz w:val="22"/>
        </w:rPr>
        <w:t>关键词：场景文本编辑；扩散模型；一致性蒸馏；LCM；LoRA；注意力蒸馏；OCR-CTC；拓扑约束</w:t>
      </w:r>
    </w:p>
    <w:p w14:paraId="2DDB6531">
      <w:pPr>
        <w:pStyle w:val="3"/>
      </w:pPr>
      <w:r>
        <w:rPr>
          <w:rFonts w:ascii="Times New Roman" w:hAnsi="Times New Roman" w:eastAsia="黑体"/>
          <w:sz w:val="28"/>
        </w:rPr>
        <w:t>1 引言</w:t>
      </w:r>
    </w:p>
    <w:p w14:paraId="08E575C5">
      <w:pPr>
        <w:spacing w:after="120" w:line="324" w:lineRule="auto"/>
        <w:ind w:firstLine="420"/>
      </w:pPr>
      <w:r>
        <w:rPr>
          <w:rFonts w:ascii="Times New Roman" w:hAnsi="Times New Roman" w:eastAsia="宋体"/>
          <w:sz w:val="22"/>
        </w:rPr>
        <w:t>场景文本编辑（Scene Text Editing）要求在修改图像中文本内容的同时，严格保持背景纹理、光照与几何透视的一致性。与通用图像编辑不同，文本是一种高度结构化的视觉信号，其可读性对局部笔画的连通性、字符间距、孔洞结构以及边缘清晰度极为敏感。轻微的结构退化（例如笔画断裂、相邻字符粘连或孔洞闭合）即可造成语义级别的识别错误，从而显著降低编辑结果的可用性。</w:t>
      </w:r>
    </w:p>
    <w:p w14:paraId="122E143A">
      <w:pPr>
        <w:spacing w:after="120" w:line="324" w:lineRule="auto"/>
        <w:ind w:firstLine="420"/>
      </w:pPr>
      <w:r>
        <w:rPr>
          <w:rFonts w:ascii="Times New Roman" w:hAnsi="Times New Roman" w:eastAsia="宋体"/>
          <w:sz w:val="22"/>
        </w:rPr>
        <w:t>扩散模型在高保真生成与可控编辑方面取得显著进展。面向文本的专用模型通过引入字形条件（glyph）与位置掩码等控制信号，实现了复杂背景下的自然融合。然而，扩散模型的迭代去噪机制通常需要 20～50 步采样，使得单张图像生成的端到端延迟达到秒级，难以满足移动端、交互式设计、即时翻译等对低延迟有强需求的应用场景。</w:t>
      </w:r>
    </w:p>
    <w:p w14:paraId="5F9C7C7E">
      <w:pPr>
        <w:spacing w:after="120" w:line="324" w:lineRule="auto"/>
        <w:ind w:firstLine="420"/>
      </w:pPr>
      <w:r>
        <w:rPr>
          <w:rFonts w:ascii="Times New Roman" w:hAnsi="Times New Roman" w:eastAsia="宋体"/>
          <w:sz w:val="22"/>
        </w:rPr>
        <w:t>一致性模型与潜在一致性模型（LCM）通过蒸馏学习“从任意时间步到解”的短路径映射，使推理步数压缩到 1～4 步成为可能。然而，将通用少步蒸馏直接用于场景文本编辑时，我们观察到明显的“可读性坍塌”现象：（i）条件对齐失效导致字符位置漂移与重影；（ii）语义真值缺失导致模型生成视觉上像字但不可识别的伪纹理；（iii）拓扑结构破坏导致断笔、粘连与孔洞错误。这类问题并非单纯的高频丢失，而是由条件引导、序列语义与细长结构拓扑三类机制性失配共同触发。</w:t>
      </w:r>
    </w:p>
    <w:p w14:paraId="29311311">
      <w:pPr>
        <w:spacing w:after="120" w:line="324" w:lineRule="auto"/>
        <w:ind w:firstLine="420"/>
      </w:pPr>
      <w:r>
        <w:rPr>
          <w:rFonts w:ascii="Times New Roman" w:hAnsi="Times New Roman" w:eastAsia="宋体"/>
          <w:sz w:val="22"/>
        </w:rPr>
        <w:t>为此，本文提出 FlashGlyph，一个以“可读性”为中心目标的少步蒸馏框架。核心思想是将“文本可读性”拆解为可优化的三类约束：对齐（alignment）、语义（semantics）与拓扑（topology），并将其作为一致性蒸馏的辅助监督信号引入训练。FlashGlyph 在不重写主干网络的前提下，以 AnyText2 作为冻结教师模型，使用 LoRA-LCM 蒸馏训练少量可训练参数，从而具备向其他扩散式文本编辑/生成模型迁移的潜力。</w:t>
      </w:r>
    </w:p>
    <w:p w14:paraId="72BF953C">
      <w:pPr>
        <w:spacing w:after="120" w:line="324" w:lineRule="auto"/>
        <w:ind w:firstLine="420"/>
      </w:pPr>
      <w:r>
        <w:rPr>
          <w:rFonts w:ascii="Times New Roman" w:hAnsi="Times New Roman" w:eastAsia="宋体"/>
          <w:sz w:val="22"/>
        </w:rPr>
        <w:t>本文主要贡献如下：</w:t>
      </w:r>
    </w:p>
    <w:p w14:paraId="400629E0">
      <w:pPr>
        <w:pStyle w:val="16"/>
        <w:spacing w:after="60" w:line="300" w:lineRule="auto"/>
      </w:pPr>
      <w:r>
        <w:t>提出面向文本可读性的少步蒸馏范式，将可读性分解为“对齐—语义—拓扑”三类可优化目标，并给出可复现的训练/评测协议。</w:t>
      </w:r>
    </w:p>
    <w:p w14:paraId="21E68475">
      <w:pPr>
        <w:pStyle w:val="16"/>
        <w:spacing w:after="60" w:line="300" w:lineRule="auto"/>
      </w:pPr>
      <w:r>
        <w:t>设计注意力对齐蒸馏，通过对齐控制分支 Cross-Attention 的响应分布，缓解少步推理中的条件引导失效与位置漂移。</w:t>
      </w:r>
    </w:p>
    <w:p w14:paraId="0F94250B">
      <w:pPr>
        <w:pStyle w:val="16"/>
        <w:spacing w:after="60" w:line="300" w:lineRule="auto"/>
      </w:pPr>
      <w:r>
        <w:t>引入 OCR-CTC 语义监督与 clDice 拓扑一致性约束，分别解决“伪字符/语义错字”与“断笔/粘连/孔洞闭合”等结构性错误。</w:t>
      </w:r>
    </w:p>
    <w:p w14:paraId="2944E04A">
      <w:pPr>
        <w:pStyle w:val="16"/>
        <w:spacing w:after="60" w:line="300" w:lineRule="auto"/>
      </w:pPr>
      <w:r>
        <w:t>在 AnyWord-3M 数据集上验证 FlashGlyph 在 4 步推理下可显著提升外部 OCR 指标，并在速度与可读性之间取得更优折中。</w:t>
      </w:r>
    </w:p>
    <w:p w14:paraId="7DDC80A5">
      <w:pPr>
        <w:pStyle w:val="3"/>
      </w:pPr>
      <w:r>
        <w:rPr>
          <w:rFonts w:ascii="Times New Roman" w:hAnsi="Times New Roman" w:eastAsia="黑体"/>
          <w:sz w:val="28"/>
        </w:rPr>
        <w:t>2 相关工作</w:t>
      </w:r>
    </w:p>
    <w:p w14:paraId="73CD094F">
      <w:pPr>
        <w:pStyle w:val="4"/>
      </w:pPr>
      <w:r>
        <w:rPr>
          <w:rFonts w:ascii="Times New Roman" w:hAnsi="Times New Roman" w:eastAsia="黑体"/>
          <w:sz w:val="25"/>
        </w:rPr>
        <w:t>2.1 场景文本生成与编辑</w:t>
      </w:r>
    </w:p>
    <w:p w14:paraId="57818F4E">
      <w:pPr>
        <w:spacing w:after="120" w:line="324" w:lineRule="auto"/>
        <w:ind w:firstLine="420"/>
      </w:pPr>
      <w:r>
        <w:rPr>
          <w:rFonts w:ascii="Times New Roman" w:hAnsi="Times New Roman" w:eastAsia="宋体"/>
          <w:sz w:val="22"/>
        </w:rPr>
        <w:t>传统场景文本编辑多采用“定位/分割—背景修复—文本渲染/融合”的分解式流程。SRNet（Editing Text in the Wild）通过内容与风格分解实现自然场景文本替换，STEFANN 引入字体适配机制进行字符级编辑，SwapText 通过阶段化文本交换与背景补全提升复杂场景的融合质量。该类方法具有较强可解释性，但依赖前置检测、几何校正与字体建模，误差易级联放大，且在多语言复杂字形、任意形变文本与端到端一致性方面存在局限。</w:t>
      </w:r>
    </w:p>
    <w:p w14:paraId="05051AA3">
      <w:pPr>
        <w:spacing w:after="120" w:line="324" w:lineRule="auto"/>
        <w:ind w:firstLine="420"/>
      </w:pPr>
      <w:r>
        <w:rPr>
          <w:rFonts w:ascii="Times New Roman" w:hAnsi="Times New Roman" w:eastAsia="宋体"/>
          <w:sz w:val="22"/>
        </w:rPr>
        <w:t>扩散模型为端到端文本编辑提供了新的范式。TextDiffuser 通过布局规划与扩散渲染结合提升文本布局一致性与内容正确性，TextDiffuser-2 进一步引入语言模型增强布局规划与渲染能力。在字形可控方向，GlyphControl、GlyphDraw 等工作将 glyph 与空间结构作为条件，提升复杂结构下的文字渲染一致性。AnyText 提出多语言视觉文本生成与编辑方法并提供基准，AnyText2 在其基础上支持更细粒度的属性控制与更强的背景融合能力。本文以 AnyText2 作为教师模型，聚焦其在少步蒸馏到 1～4 步推理时的可读性退化问题。</w:t>
      </w:r>
    </w:p>
    <w:p w14:paraId="0A8BA7BE">
      <w:pPr>
        <w:pStyle w:val="4"/>
      </w:pPr>
      <w:r>
        <w:rPr>
          <w:rFonts w:ascii="Times New Roman" w:hAnsi="Times New Roman" w:eastAsia="黑体"/>
          <w:sz w:val="25"/>
        </w:rPr>
        <w:t>2.2 扩散模型加速与一致性蒸馏</w:t>
      </w:r>
    </w:p>
    <w:p w14:paraId="5D3E2679">
      <w:pPr>
        <w:spacing w:after="120" w:line="324" w:lineRule="auto"/>
        <w:ind w:firstLine="420"/>
      </w:pPr>
      <w:r>
        <w:rPr>
          <w:rFonts w:ascii="Times New Roman" w:hAnsi="Times New Roman" w:eastAsia="宋体"/>
          <w:sz w:val="22"/>
        </w:rPr>
        <w:t>扩散模型推理加速主要包括训练无关（solver）与训练相关（蒸馏/一致性）两类路线。训练无关的采样器如 DDIM、DPM-Solver/++ 与 UniPC 可在不改动模型参数的情况下将采样步数降低到约 10～20 步，但在更少步数时质量下降明显，且对文本这类高结构信号更易出现边缘抹平与结构错误。</w:t>
      </w:r>
    </w:p>
    <w:p w14:paraId="30D43BCA">
      <w:pPr>
        <w:spacing w:after="120" w:line="324" w:lineRule="auto"/>
        <w:ind w:firstLine="420"/>
      </w:pPr>
      <w:r>
        <w:rPr>
          <w:rFonts w:ascii="Times New Roman" w:hAnsi="Times New Roman" w:eastAsia="宋体"/>
          <w:sz w:val="22"/>
        </w:rPr>
        <w:t>训练相关方法通过学习少步映射实现极致加速。Progressive Distillation、Consistency Models/CTM 等工作通过递进蒸馏或一致性训练将生成压缩到极少步。LCM 将一致性思想迁移到潜空间扩散并通过少量训练获得 2～4 步推理能力。然而，现有一致性目标多采用点对点误差（如 MSE/Huber）对齐轨迹，其优化偏向降低全局平均误差，对“文本笔画连通性”“字符语义正确性”“glyph-位置条件对齐”等结构化约束缺乏专用归纳偏置。因此，通用蒸馏在文本编辑中常表现为：背景看似合理，但文本区域出现难以容忍的错字/伪字与结构坍塌。</w:t>
      </w:r>
    </w:p>
    <w:p w14:paraId="70610057">
      <w:pPr>
        <w:pStyle w:val="4"/>
      </w:pPr>
      <w:r>
        <w:rPr>
          <w:rFonts w:ascii="Times New Roman" w:hAnsi="Times New Roman" w:eastAsia="黑体"/>
          <w:sz w:val="25"/>
        </w:rPr>
        <w:t>2.3 面向可读性的对齐、语义与拓扑约束</w:t>
      </w:r>
    </w:p>
    <w:p w14:paraId="3E543222">
      <w:pPr>
        <w:spacing w:after="120" w:line="324" w:lineRule="auto"/>
        <w:ind w:firstLine="420"/>
      </w:pPr>
      <w:r>
        <w:rPr>
          <w:rFonts w:ascii="Times New Roman" w:hAnsi="Times New Roman" w:eastAsia="宋体"/>
          <w:sz w:val="22"/>
        </w:rPr>
        <w:t>（1）对齐约束：注意力图监督常用于可控编辑中保持编辑区域一致，也被用于提示词编辑中对齐不同提示的注意力响应。与这些工作不同，本文关注少步蒸馏中“条件引导失效”的根源问题，将注意力作为中间变量进行教师—学生对齐，以降低位置漂移与重影。</w:t>
      </w:r>
    </w:p>
    <w:p w14:paraId="0A4775AA">
      <w:pPr>
        <w:spacing w:after="120" w:line="324" w:lineRule="auto"/>
        <w:ind w:firstLine="420"/>
      </w:pPr>
      <w:r>
        <w:rPr>
          <w:rFonts w:ascii="Times New Roman" w:hAnsi="Times New Roman" w:eastAsia="宋体"/>
          <w:sz w:val="22"/>
        </w:rPr>
        <w:t>（2）语义约束：在文本生成与场景文本渲染领域，基于识别器的监督（recognition loss）可直接优化可读性，典型形式包括交叉熵或 CTC（Connectionist Temporal Classification）损失。本文将冻结识别器引入一致性蒸馏训练，使学生模型在少步推理下仍被迫输出可被识别为目标字符串的图像证据，从而抑制伪纹理。</w:t>
      </w:r>
    </w:p>
    <w:p w14:paraId="66DE27D3">
      <w:pPr>
        <w:spacing w:after="120" w:line="324" w:lineRule="auto"/>
        <w:ind w:firstLine="420"/>
      </w:pPr>
      <w:r>
        <w:rPr>
          <w:rFonts w:ascii="Times New Roman" w:hAnsi="Times New Roman" w:eastAsia="宋体"/>
          <w:sz w:val="22"/>
        </w:rPr>
        <w:t>（3）拓扑约束：clDice 与软骨架化广泛用于血管分割、道路提取等细长结构任务，通过骨架重合度显式鼓励连通性与拓扑一致。文本笔画同样具备细长结构特征，本文将 clDice 引入文本编辑蒸馏，以针对性抑制断笔、粘连与孔洞错误。</w:t>
      </w:r>
    </w:p>
    <w:p w14:paraId="0131445F">
      <w:pPr>
        <w:pStyle w:val="3"/>
      </w:pPr>
      <w:r>
        <w:rPr>
          <w:rFonts w:ascii="Times New Roman" w:hAnsi="Times New Roman" w:eastAsia="黑体"/>
          <w:sz w:val="28"/>
        </w:rPr>
        <w:t>3 方法</w:t>
      </w:r>
    </w:p>
    <w:p w14:paraId="062254BD">
      <w:pPr>
        <w:pStyle w:val="4"/>
      </w:pPr>
      <w:r>
        <w:rPr>
          <w:rFonts w:ascii="Times New Roman" w:hAnsi="Times New Roman" w:eastAsia="黑体"/>
          <w:sz w:val="25"/>
        </w:rPr>
        <w:t>3.1 问题定义与总体框架</w:t>
      </w:r>
    </w:p>
    <w:p w14:paraId="708AFBC1">
      <w:pPr>
        <w:spacing w:after="120" w:line="324" w:lineRule="auto"/>
        <w:ind w:firstLine="420"/>
      </w:pPr>
      <w:r>
        <w:rPr>
          <w:rFonts w:ascii="Times New Roman" w:hAnsi="Times New Roman" w:eastAsia="宋体"/>
          <w:sz w:val="22"/>
        </w:rPr>
        <w:t>给定输入图像 I、编辑区域位置掩码 M，以及字形/文本条件（例如 glyph 图像 G、目标字符串 y 与相关属性提示），场景文本编辑的目标是在保持背景一致性的前提下生成编辑结果 I'，使文本区域呈现目标内容并自然融合到原始场景中。我们在潜扩散框架中工作：VAE 将图像编码为潜变量 z，扩散过程在潜空间中进行去噪。</w:t>
      </w:r>
    </w:p>
    <w:p w14:paraId="3F91FA44">
      <w:pPr>
        <w:spacing w:after="120" w:line="324" w:lineRule="auto"/>
        <w:ind w:firstLine="420"/>
        <w:rPr>
          <w:rFonts w:ascii="Times New Roman" w:hAnsi="Times New Roman" w:eastAsia="宋体"/>
          <w:sz w:val="22"/>
        </w:rPr>
      </w:pPr>
      <w:r>
        <w:rPr>
          <w:rFonts w:ascii="Times New Roman" w:hAnsi="Times New Roman" w:eastAsia="宋体"/>
          <w:sz w:val="22"/>
        </w:rPr>
        <w:t>FlashGlyph 采用教师—学生蒸馏结构。教师模型 T 为冻结的 AnyText2；学生模型 S 与教师同构但仅训练注入的 LoRA 参数。训练阶段以 LCM 一致性蒸馏为主目标，使学生在 1～4 步推理下逼近教师的去噪轨迹。在此基础上，FlashGlyph 引入“对齐—语义—拓扑”三重可读性约束，分别作用于：（i）条件引导的空间对齐，（ii）字符序列语义正确性，（iii）笔画连通性与孔洞结构。</w:t>
      </w:r>
    </w:p>
    <w:p w14:paraId="7E2C0F9A">
      <w:pPr>
        <w:spacing w:after="120" w:line="324" w:lineRule="auto"/>
        <w:rPr>
          <w:rFonts w:hint="eastAsia" w:ascii="Times New Roman" w:hAnsi="Times New Roman" w:eastAsia="宋体"/>
          <w:sz w:val="22"/>
          <w:lang w:eastAsia="zh-CN"/>
        </w:rPr>
      </w:pPr>
      <w:r>
        <w:rPr>
          <w:rFonts w:hint="eastAsia" w:ascii="Times New Roman" w:hAnsi="Times New Roman" w:eastAsia="宋体"/>
          <w:sz w:val="22"/>
          <w:lang w:eastAsia="zh-CN"/>
        </w:rPr>
        <w:drawing>
          <wp:inline distT="0" distB="0" distL="114300" distR="114300">
            <wp:extent cx="5749925" cy="3832860"/>
            <wp:effectExtent l="0" t="0" r="3175" b="15240"/>
            <wp:docPr id="1" name="图片 1" descr="ChatGPT Image 2026年2月6日 16_58_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hatGPT Image 2026年2月6日 16_58_05"/>
                    <pic:cNvPicPr>
                      <a:picLocks noChangeAspect="1"/>
                    </pic:cNvPicPr>
                  </pic:nvPicPr>
                  <pic:blipFill>
                    <a:blip r:embed="rId6"/>
                    <a:stretch>
                      <a:fillRect/>
                    </a:stretch>
                  </pic:blipFill>
                  <pic:spPr>
                    <a:xfrm>
                      <a:off x="0" y="0"/>
                      <a:ext cx="5749925" cy="3832860"/>
                    </a:xfrm>
                    <a:prstGeom prst="rect">
                      <a:avLst/>
                    </a:prstGeom>
                  </pic:spPr>
                </pic:pic>
              </a:graphicData>
            </a:graphic>
          </wp:inline>
        </w:drawing>
      </w:r>
    </w:p>
    <w:p w14:paraId="4F54FE5C">
      <w:pPr>
        <w:spacing w:after="120" w:line="276" w:lineRule="auto"/>
        <w:jc w:val="center"/>
      </w:pPr>
      <w:r>
        <w:rPr>
          <w:rFonts w:ascii="Times New Roman" w:hAnsi="Times New Roman" w:eastAsia="宋体"/>
          <w:sz w:val="21"/>
        </w:rPr>
        <w:t>图 1 FlashGlyph 总体蒸馏框架示意图（建议在此处绘制：教师/学生共享控制信号，LCM 主损失 + 三重可读性约束，推理为 1～4 步）。</w:t>
      </w:r>
      <w:bookmarkStart w:id="0" w:name="_GoBack"/>
      <w:bookmarkEnd w:id="0"/>
    </w:p>
    <w:p w14:paraId="508FCCEA">
      <w:pPr>
        <w:pStyle w:val="4"/>
      </w:pPr>
      <w:r>
        <w:rPr>
          <w:rFonts w:ascii="Times New Roman" w:hAnsi="Times New Roman" w:eastAsia="黑体"/>
          <w:sz w:val="25"/>
        </w:rPr>
        <w:t>3.2 基础蒸馏：LCM-LoRA 一致性蒸馏</w:t>
      </w:r>
    </w:p>
    <w:p w14:paraId="020926E5">
      <w:pPr>
        <w:spacing w:after="120" w:line="324" w:lineRule="auto"/>
        <w:ind w:firstLine="420"/>
      </w:pPr>
      <w:r>
        <w:rPr>
          <w:rFonts w:ascii="Times New Roman" w:hAnsi="Times New Roman" w:eastAsia="宋体"/>
          <w:sz w:val="22"/>
        </w:rPr>
        <w:t>我们采用 LCM 的一致性蒸馏思想学习从任意时间步到解的短程映射。给定潜变量 z，在时间步 t 的噪声状态为：x_t = α_t z + σ_t ε，其中 ε ~ N(0, I)。学生模型在条件 c 下预测噪声或 x0（两者可互相转换），并通过一个少步更新得到目标状态 x_{t'}。一致性蒸馏的关键是构造一个“教师指导的一步目标”，并令学生在 x_t 与 x_{t'} 两个状态上的预测保持一致。</w:t>
      </w:r>
    </w:p>
    <w:p w14:paraId="6209A1DC">
      <w:pPr>
        <w:spacing w:after="120" w:line="324" w:lineRule="auto"/>
        <w:ind w:firstLine="420"/>
      </w:pPr>
      <w:r>
        <w:rPr>
          <w:rFonts w:ascii="Times New Roman" w:hAnsi="Times New Roman" w:eastAsia="宋体"/>
          <w:sz w:val="22"/>
        </w:rPr>
        <w:t>为了在不破坏教师结构的前提下实现低成本蒸馏，学生仅训练 LoRA 适配器参数。LoRA 注入主要覆盖 UNet 与控制分支的注意力投影层及少量关键卷积层，从而在参数量与训练稳定性之间取得折中。</w:t>
      </w:r>
    </w:p>
    <w:p w14:paraId="5F749661">
      <w:pPr>
        <w:spacing w:after="120" w:line="324" w:lineRule="auto"/>
        <w:ind w:firstLine="420"/>
      </w:pPr>
      <w:r>
        <w:rPr>
          <w:rFonts w:ascii="Times New Roman" w:hAnsi="Times New Roman" w:eastAsia="宋体"/>
          <w:sz w:val="22"/>
        </w:rPr>
        <w:t>在文本编辑中，优化预算应集中于文本区域。因此我们构建文本掩码 M_txt，并对一致性损失进行区域加权：L_LCM' = mean( (1 + λ_mask · M_txt) ⊙ L_LCM )。掩码加权只能提高文本区域误差权重，但不能保证语义与拓扑正确性，因此必须引入后续三重约束。</w:t>
      </w:r>
    </w:p>
    <w:p w14:paraId="79C8F711">
      <w:pPr>
        <w:pStyle w:val="4"/>
      </w:pPr>
      <w:r>
        <w:rPr>
          <w:rFonts w:ascii="Times New Roman" w:hAnsi="Times New Roman" w:eastAsia="黑体"/>
          <w:sz w:val="25"/>
        </w:rPr>
        <w:t>3.3 约束一：注意力对齐蒸馏（Alignment）</w:t>
      </w:r>
    </w:p>
    <w:p w14:paraId="50648B59">
      <w:pPr>
        <w:spacing w:after="120" w:line="324" w:lineRule="auto"/>
        <w:ind w:firstLine="420"/>
      </w:pPr>
      <w:r>
        <w:rPr>
          <w:rFonts w:ascii="Times New Roman" w:hAnsi="Times New Roman" w:eastAsia="宋体"/>
          <w:sz w:val="22"/>
        </w:rPr>
        <w:t>少步推理时，文本控制信号需要通过 Cross-Attention 精确调制空间特征。为缓解条件引导失效，我们对齐教师与学生在控制分支 Cross-Attention 层的注意力响应。通过 tokenizer 获取文本相关 token，并将其注意力在 token 维度聚合为“空间注意力质量图”，只在文本区域内对齐教师与学生。</w:t>
      </w:r>
    </w:p>
    <w:p w14:paraId="3ACE9659">
      <w:pPr>
        <w:spacing w:after="120" w:line="324" w:lineRule="auto"/>
        <w:ind w:firstLine="420"/>
      </w:pPr>
      <w:r>
        <w:rPr>
          <w:rFonts w:ascii="Times New Roman" w:hAnsi="Times New Roman" w:eastAsia="宋体"/>
          <w:sz w:val="22"/>
        </w:rPr>
        <w:t>该约束的目标不是复制全部注意力细节，而是强制学生在关键文本 token 上“看对位置”。训练上建议使用 warmup：先用一致性目标稳定训练，再逐步增加注意力损失权重以提升收敛性。</w:t>
      </w:r>
    </w:p>
    <w:p w14:paraId="3A8A4194">
      <w:pPr>
        <w:spacing w:after="120" w:line="276" w:lineRule="auto"/>
        <w:jc w:val="center"/>
      </w:pPr>
      <w:r>
        <w:rPr>
          <w:rFonts w:ascii="Times New Roman" w:hAnsi="Times New Roman" w:eastAsia="宋体"/>
          <w:sz w:val="21"/>
        </w:rPr>
        <w:t>图 2 注意力对齐蒸馏示意图（建议：token mask → attention mass → 空间分布对齐，仅在文本区域计算）。</w:t>
      </w:r>
    </w:p>
    <w:p w14:paraId="09BD248C">
      <w:pPr>
        <w:pStyle w:val="4"/>
      </w:pPr>
      <w:r>
        <w:rPr>
          <w:rFonts w:ascii="Times New Roman" w:hAnsi="Times New Roman" w:eastAsia="黑体"/>
          <w:sz w:val="25"/>
        </w:rPr>
        <w:t>3.4 约束二：OCR-CTC 语义监督（Semantics）</w:t>
      </w:r>
    </w:p>
    <w:p w14:paraId="3216779A">
      <w:pPr>
        <w:spacing w:after="120" w:line="324" w:lineRule="auto"/>
        <w:ind w:firstLine="420"/>
      </w:pPr>
      <w:r>
        <w:rPr>
          <w:rFonts w:ascii="Times New Roman" w:hAnsi="Times New Roman" w:eastAsia="宋体"/>
          <w:sz w:val="22"/>
        </w:rPr>
        <w:t>为避免生成“像字但不可读”的伪纹理，本文引入冻结的文本识别器 R 对生成文本进行序列监督。训练时将学生预测的 x0 解码为图像 I_hat，按位置掩码裁剪文本行，输入识别器并计算 CTC 损失。识别器参数冻结，梯度仅回传至学生模型。为控制开销，OCR 约束可间隔触发并进行权重调度。</w:t>
      </w:r>
    </w:p>
    <w:p w14:paraId="39D9679C">
      <w:pPr>
        <w:spacing w:after="120" w:line="276" w:lineRule="auto"/>
        <w:jc w:val="center"/>
      </w:pPr>
      <w:r>
        <w:rPr>
          <w:rFonts w:ascii="Times New Roman" w:hAnsi="Times New Roman" w:eastAsia="宋体"/>
          <w:sz w:val="21"/>
        </w:rPr>
        <w:t>图 3 OCR-CTC 语义监督流程（建议：裁剪 → 识别器 → CTC loss，强调训练识别器与测试识别器解耦）。</w:t>
      </w:r>
    </w:p>
    <w:p w14:paraId="71739C9F">
      <w:pPr>
        <w:pStyle w:val="4"/>
      </w:pPr>
      <w:r>
        <w:rPr>
          <w:rFonts w:ascii="Times New Roman" w:hAnsi="Times New Roman" w:eastAsia="黑体"/>
          <w:sz w:val="25"/>
        </w:rPr>
        <w:t>3.5 约束三：拓扑一致性（Topology）</w:t>
      </w:r>
    </w:p>
    <w:p w14:paraId="276424FE">
      <w:pPr>
        <w:spacing w:after="120" w:line="324" w:lineRule="auto"/>
        <w:ind w:firstLine="420"/>
      </w:pPr>
      <w:r>
        <w:rPr>
          <w:rFonts w:ascii="Times New Roman" w:hAnsi="Times New Roman" w:eastAsia="宋体"/>
          <w:sz w:val="22"/>
        </w:rPr>
        <w:t>针对断笔、粘连与孔洞错误，本文引入软骨架化与 clDice 损失约束笔画连通性。在无逐像素标注的情况下，可通过生成结果与背景的差分构造近似笔画概率图，并限制在文本区域内进行骨架一致性约束。</w:t>
      </w:r>
    </w:p>
    <w:p w14:paraId="0B0B02F6">
      <w:pPr>
        <w:spacing w:after="120" w:line="324" w:lineRule="auto"/>
        <w:ind w:firstLine="420"/>
      </w:pPr>
      <w:r>
        <w:rPr>
          <w:rFonts w:ascii="Times New Roman" w:hAnsi="Times New Roman" w:eastAsia="宋体"/>
          <w:sz w:val="22"/>
        </w:rPr>
        <w:t>拓扑约束在工程上可视为对“笔画连通性”的软监督，对少步结果中的细长结构错误更敏感，建议采用逐步增权或间隔计算以保证训练稳定性。</w:t>
      </w:r>
    </w:p>
    <w:p w14:paraId="0395D427">
      <w:pPr>
        <w:pStyle w:val="4"/>
      </w:pPr>
      <w:r>
        <w:rPr>
          <w:rFonts w:ascii="Times New Roman" w:hAnsi="Times New Roman" w:eastAsia="黑体"/>
          <w:sz w:val="25"/>
        </w:rPr>
        <w:t>3.6 可选锐化项与总损失</w:t>
      </w:r>
    </w:p>
    <w:p w14:paraId="112064E1">
      <w:pPr>
        <w:spacing w:after="120" w:line="324" w:lineRule="auto"/>
        <w:ind w:firstLine="420"/>
      </w:pPr>
      <w:r>
        <w:rPr>
          <w:rFonts w:ascii="Times New Roman" w:hAnsi="Times New Roman" w:eastAsia="宋体"/>
          <w:sz w:val="22"/>
        </w:rPr>
        <w:t>在三重约束建立后，边界锐度可通过轻量锐化项进行“抛光”，例如边界梯度对齐或频域损失（FFL）。锐化项不应主导训练，以免引入背景纹理伪影或过锐化。</w:t>
      </w:r>
    </w:p>
    <w:p w14:paraId="3927074D">
      <w:pPr>
        <w:spacing w:after="120" w:line="324" w:lineRule="auto"/>
        <w:ind w:firstLine="420"/>
      </w:pPr>
      <w:r>
        <w:rPr>
          <w:rFonts w:ascii="Times New Roman" w:hAnsi="Times New Roman" w:eastAsia="宋体"/>
          <w:sz w:val="22"/>
        </w:rPr>
        <w:t>总损失可写为：L_total = L_LCM' + λ1 L_attn + λ2 L_ocr + λ3 L_topo + λ4 L_sharp。λ1～λ4 建议采用 warmup/分段策略：前期一致性为主，中期加入注意力与 OCR，后期加入拓扑约束并微量启用锐化项。</w:t>
      </w:r>
    </w:p>
    <w:p w14:paraId="460967C8">
      <w:pPr>
        <w:pStyle w:val="3"/>
      </w:pPr>
      <w:r>
        <w:rPr>
          <w:rFonts w:ascii="Times New Roman" w:hAnsi="Times New Roman" w:eastAsia="黑体"/>
          <w:sz w:val="28"/>
        </w:rPr>
        <w:t>4 实验</w:t>
      </w:r>
    </w:p>
    <w:p w14:paraId="347D9946">
      <w:pPr>
        <w:pStyle w:val="4"/>
      </w:pPr>
      <w:r>
        <w:rPr>
          <w:rFonts w:ascii="Times New Roman" w:hAnsi="Times New Roman" w:eastAsia="黑体"/>
          <w:sz w:val="25"/>
        </w:rPr>
        <w:t>4.1 数据集与评测协议</w:t>
      </w:r>
    </w:p>
    <w:p w14:paraId="07261AFA">
      <w:pPr>
        <w:spacing w:after="120" w:line="324" w:lineRule="auto"/>
        <w:ind w:firstLine="420"/>
      </w:pPr>
      <w:r>
        <w:rPr>
          <w:rFonts w:ascii="Times New Roman" w:hAnsi="Times New Roman" w:eastAsia="宋体"/>
          <w:sz w:val="22"/>
        </w:rPr>
        <w:t>本文主要使用 AnyWord-3M（V1.1）进行蒸馏训练与评测。该数据集针对多语言文字生成任务构建，包含 3,034,486 张图像、超过 900 万行文本与超过 2000 万个字符或拉丁文字。图像来源涵盖 Noah-Wukong、LAION-400M 以及多个 OCR 数据集（ArT、COCO-Text、RCTW、LSVT、MLT、MTWI、ReCTS 等），场景覆盖街景、书籍封面、广告、海报、电影帧等。除 OCR 数据集直接使用标注信息外，其余图像通过 PP-OCR 检测与识别生成文本行标注，并使用 BLIP-2 生成文本描述；经严格过滤与后处理得到最终样本。</w:t>
      </w:r>
    </w:p>
    <w:p w14:paraId="747641CD">
      <w:pPr>
        <w:spacing w:after="120" w:line="324" w:lineRule="auto"/>
        <w:ind w:firstLine="420"/>
      </w:pPr>
      <w:r>
        <w:rPr>
          <w:rFonts w:ascii="Times New Roman" w:hAnsi="Times New Roman" w:eastAsia="宋体"/>
          <w:sz w:val="22"/>
        </w:rPr>
        <w:t>数据集中约 160 万张为中文、139 万张为英文，约 1 万张为其他语言（如日语、韩语、阿拉伯语、孟加拉语与印地语）。此外，作者从 Wukong 与 LAION 子集中随机抽取 1000 张构建评估集 AnyText-benchmark，用于评估中英文生成准确性与质量；其余样本作为训练集 AnyWord-3M。</w:t>
      </w:r>
    </w:p>
    <w:p w14:paraId="3AF68FAA">
      <w:pPr>
        <w:spacing w:after="120" w:line="324" w:lineRule="auto"/>
        <w:ind w:firstLine="420"/>
      </w:pPr>
      <w:r>
        <w:rPr>
          <w:rFonts w:ascii="Times New Roman" w:hAnsi="Times New Roman" w:eastAsia="宋体"/>
          <w:sz w:val="22"/>
        </w:rPr>
        <w:t>评测以可读性为核心。使用外部 OCR/STR 模型评估输出，计算 Char Acc、Word Acc、CER/WER 等。若训练引入 OCR 约束，则测试必须使用不同识别器以避免同构偏置。同时报告 FID/LPIPS 等感知质量指标与端到端延迟（batch=1，固定软硬件环境，说明是否包含预处理/后处理）。</w:t>
      </w:r>
    </w:p>
    <w:p w14:paraId="7B32A7D9">
      <w:pPr>
        <w:pStyle w:val="4"/>
      </w:pPr>
      <w:r>
        <w:rPr>
          <w:rFonts w:ascii="Times New Roman" w:hAnsi="Times New Roman" w:eastAsia="黑体"/>
          <w:sz w:val="25"/>
        </w:rPr>
        <w:t>4.2 实现细节</w:t>
      </w:r>
    </w:p>
    <w:p w14:paraId="2CD10DAC">
      <w:pPr>
        <w:spacing w:after="120" w:line="324" w:lineRule="auto"/>
        <w:ind w:firstLine="420"/>
      </w:pPr>
      <w:r>
        <w:rPr>
          <w:rFonts w:ascii="Times New Roman" w:hAnsi="Times New Roman" w:eastAsia="宋体"/>
          <w:sz w:val="22"/>
        </w:rPr>
        <w:t>教师模型为 AnyText2 checkpoint；学生为同构网络 + LoRA。时间表采用 DDIM 50 步，推理步数固定为 4，并可扩展报告 1/2 步。优化器采用 AdamW，混合精度训练。注意力蒸馏在可记录注意力权重的实现路径下启用；OCR 约束默认每 k 步触发一次；拓扑约束通过有限迭代的 soft-skeletonization 计算。</w:t>
      </w:r>
    </w:p>
    <w:p w14:paraId="16D01B87">
      <w:pPr>
        <w:pStyle w:val="4"/>
      </w:pPr>
      <w:r>
        <w:rPr>
          <w:rFonts w:ascii="Times New Roman" w:hAnsi="Times New Roman" w:eastAsia="黑体"/>
          <w:sz w:val="25"/>
        </w:rPr>
        <w:t>4.3 主结果与对比（占位）</w:t>
      </w:r>
    </w:p>
    <w:p w14:paraId="6B86B048">
      <w:pPr>
        <w:spacing w:after="120" w:line="324" w:lineRule="auto"/>
        <w:ind w:firstLine="420"/>
      </w:pPr>
      <w:r>
        <w:rPr>
          <w:rFonts w:ascii="Times New Roman" w:hAnsi="Times New Roman" w:eastAsia="宋体"/>
          <w:sz w:val="22"/>
        </w:rPr>
        <w:t>对比方法建议至少包含：（i）AnyText2（50 步，教师）；（ii）教师 + 少步采样器（DDIM 4/10 步、DPM-Solver/UniPC 10/15 步）；（iii）LCM-LoRA baseline（仅一致性蒸馏，注明是否含 mask-weight）；（iv）FlashGlyph（本文）。</w:t>
      </w:r>
    </w:p>
    <w:p w14:paraId="5E59CD8B">
      <w:pPr>
        <w:spacing w:after="120" w:line="276" w:lineRule="auto"/>
        <w:jc w:val="center"/>
      </w:pPr>
      <w:r>
        <w:rPr>
          <w:rFonts w:ascii="Times New Roman" w:hAnsi="Times New Roman" w:eastAsia="宋体"/>
          <w:sz w:val="21"/>
        </w:rPr>
        <w:t>表 1 主实验定量对比（请填充延迟/OCR/CER/FID/LPIPS 等真实数据）。</w:t>
      </w:r>
    </w:p>
    <w:p w14:paraId="5A235AC3">
      <w:pPr>
        <w:spacing w:after="120" w:line="276" w:lineRule="auto"/>
        <w:jc w:val="center"/>
      </w:pPr>
      <w:r>
        <w:rPr>
          <w:rFonts w:ascii="Times New Roman" w:hAnsi="Times New Roman" w:eastAsia="宋体"/>
          <w:sz w:val="21"/>
        </w:rPr>
        <w:t>图 4 主结果定性对比（建议：Teacher vs LCM baseline vs FlashGlyph，附局部放大与 OCR 识别字符串）。</w:t>
      </w:r>
    </w:p>
    <w:p w14:paraId="334CB3BB">
      <w:pPr>
        <w:pStyle w:val="4"/>
      </w:pPr>
      <w:r>
        <w:rPr>
          <w:rFonts w:ascii="Times New Roman" w:hAnsi="Times New Roman" w:eastAsia="黑体"/>
          <w:sz w:val="25"/>
        </w:rPr>
        <w:t>4.4 消融实验与分析建议</w:t>
      </w:r>
    </w:p>
    <w:p w14:paraId="51DA811D">
      <w:pPr>
        <w:spacing w:after="120" w:line="324" w:lineRule="auto"/>
        <w:ind w:firstLine="420"/>
      </w:pPr>
      <w:r>
        <w:rPr>
          <w:rFonts w:ascii="Times New Roman" w:hAnsi="Times New Roman" w:eastAsia="宋体"/>
          <w:sz w:val="22"/>
        </w:rPr>
        <w:t>消融实验建议按模块逐步叠加：A0 LCM baseline → A1 +Attention → A2 +OCR → A3 +Topology → A4 +Sharpness。除平均指标外，建议统计结构崩溃样本率（例如 CER 超阈值比例）以量化稳定性，并报告不同语言子集的分层结果。</w:t>
      </w:r>
    </w:p>
    <w:p w14:paraId="58F23E38">
      <w:pPr>
        <w:spacing w:after="120" w:line="276" w:lineRule="auto"/>
        <w:jc w:val="center"/>
      </w:pPr>
      <w:r>
        <w:rPr>
          <w:rFonts w:ascii="Times New Roman" w:hAnsi="Times New Roman" w:eastAsia="宋体"/>
          <w:sz w:val="21"/>
        </w:rPr>
        <w:t>表 2 组件消融（占位：A0-A4）。</w:t>
      </w:r>
    </w:p>
    <w:p w14:paraId="1CB8E398">
      <w:pPr>
        <w:spacing w:after="120" w:line="276" w:lineRule="auto"/>
        <w:jc w:val="center"/>
      </w:pPr>
      <w:r>
        <w:rPr>
          <w:rFonts w:ascii="Times New Roman" w:hAnsi="Times New Roman" w:eastAsia="宋体"/>
          <w:sz w:val="21"/>
        </w:rPr>
        <w:t>图 5 消融可视化（建议：A0-A3 每阶段展示位置漂移、语义错字、断笔/粘连的修复过程）。</w:t>
      </w:r>
    </w:p>
    <w:p w14:paraId="63343B77">
      <w:pPr>
        <w:pStyle w:val="3"/>
      </w:pPr>
      <w:r>
        <w:rPr>
          <w:rFonts w:ascii="Times New Roman" w:hAnsi="Times New Roman" w:eastAsia="黑体"/>
          <w:sz w:val="28"/>
        </w:rPr>
        <w:t>5 局限性与讨论</w:t>
      </w:r>
    </w:p>
    <w:p w14:paraId="3AA25B94">
      <w:pPr>
        <w:spacing w:after="120" w:line="324" w:lineRule="auto"/>
        <w:ind w:firstLine="420"/>
      </w:pPr>
      <w:r>
        <w:rPr>
          <w:rFonts w:ascii="Times New Roman" w:hAnsi="Times New Roman" w:eastAsia="宋体"/>
          <w:sz w:val="22"/>
        </w:rPr>
        <w:t>（1）对控制信号质量的依赖：本方法依赖位置掩码与 glyph 控制信号的准确性。若掩码偏移、漏标或边界粗糙，注意力对齐与拓扑约束可能放大错误区域，造成过锐化或错误结构强化。后续可探索软掩码与不确定性建模以降低对噪声的敏感性。</w:t>
      </w:r>
    </w:p>
    <w:p w14:paraId="3C6868EF">
      <w:pPr>
        <w:spacing w:after="120" w:line="324" w:lineRule="auto"/>
        <w:ind w:firstLine="420"/>
      </w:pPr>
      <w:r>
        <w:rPr>
          <w:rFonts w:ascii="Times New Roman" w:hAnsi="Times New Roman" w:eastAsia="宋体"/>
          <w:sz w:val="22"/>
        </w:rPr>
        <w:t>（2）对识别器的依赖与偏置：OCR-CTC 监督的效果受识别器能力与词表影响。若训练识别器对艺术字或生僻字识别能力弱，可能产生误导梯度。因此需要明确训练/测试识别器解耦，并通过多识别器评测降低偏置风险。</w:t>
      </w:r>
    </w:p>
    <w:p w14:paraId="714DFFC9">
      <w:pPr>
        <w:spacing w:after="120" w:line="324" w:lineRule="auto"/>
        <w:ind w:firstLine="420"/>
      </w:pPr>
      <w:r>
        <w:rPr>
          <w:rFonts w:ascii="Times New Roman" w:hAnsi="Times New Roman" w:eastAsia="宋体"/>
          <w:sz w:val="22"/>
        </w:rPr>
        <w:t>（3）极端少步下的背景细节：在 1～2 步推理的极端设置下，FlashGlyph 可显著改善文本结构，但背景纹理精细度可能仍有损失，需要在速度—可读性—真实感之间进行应用侧权衡。</w:t>
      </w:r>
    </w:p>
    <w:p w14:paraId="72D115E2">
      <w:pPr>
        <w:spacing w:after="120" w:line="324" w:lineRule="auto"/>
        <w:ind w:firstLine="420"/>
      </w:pPr>
      <w:r>
        <w:rPr>
          <w:rFonts w:ascii="Times New Roman" w:hAnsi="Times New Roman" w:eastAsia="宋体"/>
          <w:sz w:val="22"/>
        </w:rPr>
        <w:t>（4）潜在滥用风险：高效文本篡改技术可能被用于篡改票据、路牌、截图信息等。建议在发布模型或系统时集成水印、元数据签名或编辑记录机制，并在论文中给出风险提示与合规讨论。</w:t>
      </w:r>
    </w:p>
    <w:p w14:paraId="3E62C1B0">
      <w:pPr>
        <w:pStyle w:val="3"/>
      </w:pPr>
      <w:r>
        <w:rPr>
          <w:rFonts w:ascii="Times New Roman" w:hAnsi="Times New Roman" w:eastAsia="黑体"/>
          <w:sz w:val="28"/>
        </w:rPr>
        <w:t>6 结论</w:t>
      </w:r>
    </w:p>
    <w:p w14:paraId="170EFC14">
      <w:pPr>
        <w:spacing w:after="120" w:line="324" w:lineRule="auto"/>
        <w:ind w:firstLine="420"/>
      </w:pPr>
      <w:r>
        <w:rPr>
          <w:rFonts w:ascii="Times New Roman" w:hAnsi="Times New Roman" w:eastAsia="宋体"/>
          <w:sz w:val="22"/>
        </w:rPr>
        <w:t>本文提出 FlashGlyph，一个面向场景文本编辑的可读性保持少步蒸馏框架。通过在 LCM-LoRA 一致性蒸馏基础上引入“对齐—语义—拓扑”三重约束，FlashGlyph 能在 4 步推理下显著缓解少步蒸馏带来的位置漂移、伪字符与拓扑断裂等结构性退化问题，从而提升外部 OCR 可读性，并保持低延迟优势。未来工作将围绕跨语言泛化、控制信号噪声鲁棒性、端侧量化部署与更严格的可复现评测协议进一步展开。</w:t>
      </w:r>
    </w:p>
    <w:p w14:paraId="1D97E296">
      <w:pPr>
        <w:pStyle w:val="3"/>
      </w:pPr>
      <w:r>
        <w:rPr>
          <w:rFonts w:ascii="Times New Roman" w:hAnsi="Times New Roman" w:eastAsia="黑体"/>
          <w:sz w:val="28"/>
        </w:rPr>
        <w:t>参考文献（示例，GB/T 7714—2015）</w:t>
      </w:r>
    </w:p>
    <w:p w14:paraId="781E58F3">
      <w:pPr>
        <w:spacing w:after="40" w:line="276" w:lineRule="auto"/>
        <w:ind w:firstLine="0"/>
      </w:pPr>
      <w:r>
        <w:rPr>
          <w:rFonts w:ascii="Times New Roman" w:hAnsi="Times New Roman" w:eastAsia="宋体"/>
          <w:sz w:val="21"/>
        </w:rPr>
        <w:t>[1] Ho J, Jain A, Abbeel P. Denoising Diffusion Probabilistic Models[C]//NeurIPS. 2020.</w:t>
      </w:r>
    </w:p>
    <w:p w14:paraId="6A544AE7">
      <w:pPr>
        <w:spacing w:after="40" w:line="276" w:lineRule="auto"/>
        <w:ind w:firstLine="0"/>
      </w:pPr>
      <w:r>
        <w:rPr>
          <w:rFonts w:ascii="Times New Roman" w:hAnsi="Times New Roman" w:eastAsia="宋体"/>
          <w:sz w:val="21"/>
        </w:rPr>
        <w:t>[2] Song J, Meng C, Ermon S. Denoising Diffusion Implicit Models[C]//ICLR. 2021.</w:t>
      </w:r>
    </w:p>
    <w:p w14:paraId="68865892">
      <w:pPr>
        <w:spacing w:after="40" w:line="276" w:lineRule="auto"/>
        <w:ind w:firstLine="0"/>
      </w:pPr>
      <w:r>
        <w:rPr>
          <w:rFonts w:ascii="Times New Roman" w:hAnsi="Times New Roman" w:eastAsia="宋体"/>
          <w:sz w:val="21"/>
        </w:rPr>
        <w:t>[3] Lu C, Chen Y, Chen F, et al. DPM-Solver: A Fast ODE Solver for Diffusion Probabilistic Model Sampling[C]//NeurIPS. 2022.</w:t>
      </w:r>
    </w:p>
    <w:p w14:paraId="0FEF05D9">
      <w:pPr>
        <w:spacing w:after="40" w:line="276" w:lineRule="auto"/>
        <w:ind w:firstLine="0"/>
      </w:pPr>
      <w:r>
        <w:rPr>
          <w:rFonts w:ascii="Times New Roman" w:hAnsi="Times New Roman" w:eastAsia="宋体"/>
          <w:sz w:val="21"/>
        </w:rPr>
        <w:t>[4] Rombach R, Blattmann A, Lorenz D, et al. High-Resolution Image Synthesis with Latent Diffusion Models[C]//CVPR. 2022.</w:t>
      </w:r>
    </w:p>
    <w:p w14:paraId="4D6D08FD">
      <w:pPr>
        <w:spacing w:after="40" w:line="276" w:lineRule="auto"/>
        <w:ind w:firstLine="0"/>
      </w:pPr>
      <w:r>
        <w:rPr>
          <w:rFonts w:ascii="Times New Roman" w:hAnsi="Times New Roman" w:eastAsia="宋体"/>
          <w:sz w:val="21"/>
        </w:rPr>
        <w:t>[5] Luo S, Li M, Zhu J, et al. Latent Consistency Models: Synthesizing High-Resolution Images with Few-Step Inference[EB/OL]. arXiv:2310.04378, 2023.</w:t>
      </w:r>
    </w:p>
    <w:p w14:paraId="7148ED2C">
      <w:pPr>
        <w:spacing w:after="40" w:line="276" w:lineRule="auto"/>
        <w:ind w:firstLine="0"/>
      </w:pPr>
      <w:r>
        <w:rPr>
          <w:rFonts w:ascii="Times New Roman" w:hAnsi="Times New Roman" w:eastAsia="宋体"/>
          <w:sz w:val="21"/>
        </w:rPr>
        <w:t>[6] Hu E J, Shen Y, Wallis P, et al. LoRA: Low-Rank Adaptation of Large Language Models[EB/OL]. arXiv:2106.09685, 2021.</w:t>
      </w:r>
    </w:p>
    <w:p w14:paraId="100C252A">
      <w:pPr>
        <w:spacing w:after="40" w:line="276" w:lineRule="auto"/>
        <w:ind w:firstLine="0"/>
      </w:pPr>
      <w:r>
        <w:rPr>
          <w:rFonts w:ascii="Times New Roman" w:hAnsi="Times New Roman" w:eastAsia="宋体"/>
          <w:sz w:val="21"/>
        </w:rPr>
        <w:t>[7] Chen X, et al. TextDiffuser: Diffusion Models as Text Painters[C]//NeurIPS. 2023.</w:t>
      </w:r>
    </w:p>
    <w:p w14:paraId="5B5F04AA">
      <w:pPr>
        <w:spacing w:after="40" w:line="276" w:lineRule="auto"/>
        <w:ind w:firstLine="0"/>
      </w:pPr>
      <w:r>
        <w:rPr>
          <w:rFonts w:ascii="Times New Roman" w:hAnsi="Times New Roman" w:eastAsia="宋体"/>
          <w:sz w:val="21"/>
        </w:rPr>
        <w:t>[8] Jiang Y, et al. Focal Frequency Loss for Image Reconstruction and Synthesis[C]//ICCV. 2021.</w:t>
      </w:r>
    </w:p>
    <w:p w14:paraId="4864E8E0">
      <w:pPr>
        <w:spacing w:after="40" w:line="276" w:lineRule="auto"/>
        <w:ind w:firstLine="0"/>
      </w:pPr>
      <w:r>
        <w:rPr>
          <w:rFonts w:ascii="Times New Roman" w:hAnsi="Times New Roman" w:eastAsia="宋体"/>
          <w:sz w:val="21"/>
        </w:rPr>
        <w:t>[9] Shit S, et al. clDice—A Novel Topology-Preserving Loss Function for Tubular Structure Segmentation[C]//CVPR. 2021.</w:t>
      </w:r>
    </w:p>
    <w:p w14:paraId="59B67008">
      <w:pPr>
        <w:spacing w:after="40" w:line="276" w:lineRule="auto"/>
        <w:ind w:firstLine="0"/>
      </w:pPr>
      <w:r>
        <w:rPr>
          <w:rFonts w:ascii="Times New Roman" w:hAnsi="Times New Roman" w:eastAsia="宋体"/>
          <w:sz w:val="21"/>
        </w:rPr>
        <w:t>[10] Graves A, et al. Connectionist Temporal Classification: Labelling Unsegmented Sequence Data with Recurrent Neural Networks[C]//ICML. 2006.</w:t>
      </w:r>
    </w:p>
    <w:p w14:paraId="4B385052">
      <w:pPr>
        <w:spacing w:after="40" w:line="276" w:lineRule="auto"/>
        <w:ind w:firstLine="0"/>
      </w:pPr>
      <w:r>
        <w:rPr>
          <w:rFonts w:ascii="Times New Roman" w:hAnsi="Times New Roman" w:eastAsia="宋体"/>
          <w:sz w:val="21"/>
        </w:rPr>
        <w:t>[11] Li M, et al. TrOCR: Transformer-based Optical Character Recognition with Pre-trained Models[C]//AAAI. 2023.</w:t>
      </w:r>
    </w:p>
    <w:p w14:paraId="3ECEA49B">
      <w:pPr>
        <w:spacing w:after="40" w:line="276" w:lineRule="auto"/>
        <w:ind w:firstLine="0"/>
      </w:pPr>
      <w:r>
        <w:rPr>
          <w:rFonts w:ascii="Times New Roman" w:hAnsi="Times New Roman" w:eastAsia="宋体"/>
          <w:sz w:val="21"/>
        </w:rPr>
        <w:t>[12] Jiang Z, et al. BLIP-2: Bootstrapping Language-Image Pre-training with Frozen Image Encoders and Large Language Models[C]//ICML. 2023.</w:t>
      </w:r>
    </w:p>
    <w:p w14:paraId="32161582">
      <w:pPr>
        <w:spacing w:after="40" w:line="276" w:lineRule="auto"/>
        <w:ind w:firstLine="0"/>
      </w:pPr>
      <w:r>
        <w:rPr>
          <w:rFonts w:ascii="Times New Roman" w:hAnsi="Times New Roman" w:eastAsia="宋体"/>
          <w:sz w:val="21"/>
        </w:rPr>
        <w:t>[13] Du Y, et al. PP-OCR: A Practical Ultra Lightweight OCR System[EB/OL]. 2020.</w:t>
      </w:r>
    </w:p>
    <w:p w14:paraId="6236B5E0">
      <w:pPr>
        <w:spacing w:after="40" w:line="276" w:lineRule="auto"/>
        <w:ind w:firstLine="0"/>
      </w:pPr>
      <w:r>
        <w:rPr>
          <w:rFonts w:ascii="Times New Roman" w:hAnsi="Times New Roman" w:eastAsia="宋体"/>
          <w:sz w:val="21"/>
        </w:rPr>
        <w:t>[14] Tuo Y, et al. AnyText: Multilingual Visual Text Generation and Editing with Diffusion Models[C]//(待补全). 2024.</w:t>
      </w:r>
    </w:p>
    <w:p w14:paraId="3505452C">
      <w:pPr>
        <w:spacing w:after="40" w:line="276" w:lineRule="auto"/>
        <w:ind w:firstLine="0"/>
      </w:pPr>
      <w:r>
        <w:rPr>
          <w:rFonts w:ascii="Times New Roman" w:hAnsi="Times New Roman" w:eastAsia="宋体"/>
          <w:sz w:val="21"/>
        </w:rPr>
        <w:t>[15] Tuo Y, et al. AnyText2: Scene Text Editing with Glyph and Position Control[C]//(待补全). 2024.</w:t>
      </w:r>
    </w:p>
    <w:p w14:paraId="1C72C2DC">
      <w:pPr>
        <w:spacing w:after="40" w:line="276" w:lineRule="auto"/>
        <w:ind w:firstLine="0"/>
      </w:pPr>
      <w:r>
        <w:rPr>
          <w:rFonts w:ascii="Times New Roman" w:hAnsi="Times New Roman" w:eastAsia="宋体"/>
          <w:sz w:val="21"/>
        </w:rPr>
        <w:t>[16] （其余引用请根据最终相关工作补全至 30～40 条，并统一为 GB/T 7714—2015 格式。）</w:t>
      </w:r>
    </w:p>
    <w:sectPr>
      <w:pgSz w:w="12240" w:h="15840"/>
      <w:pgMar w:top="1417" w:right="1587" w:bottom="1417" w:left="158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JetBrains Mono"/>
    <w:panose1 w:val="00000000000000000000"/>
    <w:charset w:val="00"/>
    <w:family w:val="auto"/>
    <w:pitch w:val="default"/>
    <w:sig w:usb0="00000000" w:usb1="00000000" w:usb2="00000000" w:usb3="00000000" w:csb0="00000000" w:csb1="00000000"/>
  </w:font>
  <w:font w:name="JetBrains Mono">
    <w:panose1 w:val="02000009000000000000"/>
    <w:charset w:val="00"/>
    <w:family w:val="auto"/>
    <w:pitch w:val="default"/>
    <w:sig w:usb0="A00402FF" w:usb1="1200F9FB" w:usb2="02000028" w:usb3="00000000" w:csb0="2000019F" w:csb1="DFD7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89E693C"/>
    <w:rsid w:val="0AC92FC0"/>
    <w:rsid w:val="0D3A1F53"/>
    <w:rsid w:val="0F827BE2"/>
    <w:rsid w:val="0FA22032"/>
    <w:rsid w:val="1356560D"/>
    <w:rsid w:val="1C9176B6"/>
    <w:rsid w:val="23B369BB"/>
    <w:rsid w:val="289E73E3"/>
    <w:rsid w:val="30185CCC"/>
    <w:rsid w:val="3A6164C2"/>
    <w:rsid w:val="597731B4"/>
    <w:rsid w:val="63DD455C"/>
    <w:rsid w:val="67283D40"/>
    <w:rsid w:val="675608AD"/>
    <w:rsid w:val="6D480C98"/>
    <w:rsid w:val="70D171F6"/>
    <w:rsid w:val="72B34E05"/>
    <w:rsid w:val="75722D5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5672</Words>
  <Characters>8251</Characters>
  <Lines>0</Lines>
  <Paragraphs>0</Paragraphs>
  <TotalTime>30</TotalTime>
  <ScaleCrop>false</ScaleCrop>
  <LinksUpToDate>false</LinksUpToDate>
  <CharactersWithSpaces>8843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白昼的温度</cp:lastModifiedBy>
  <dcterms:modified xsi:type="dcterms:W3CDTF">2026-02-06T08:59:22Z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eyJoZGlkIjoiOTAyYzU0NTQyYjk5ODM5YzJhNTQyNWZkYmYzYTA4NzEiLCJ1c2VySWQiOiI0MTc0MDY5ODQifQ==</vt:lpwstr>
  </property>
  <property fmtid="{D5CDD505-2E9C-101B-9397-08002B2CF9AE}" pid="3" name="KSOProductBuildVer">
    <vt:lpwstr>2052-12.1.0.23542</vt:lpwstr>
  </property>
  <property fmtid="{D5CDD505-2E9C-101B-9397-08002B2CF9AE}" pid="4" name="ICV">
    <vt:lpwstr>0EDC77B46A0D4384894E3A5C94CD1BA0_12</vt:lpwstr>
  </property>
</Properties>
</file>