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7B0A4">
      <w:pPr>
        <w:ind w:firstLine="0" w:firstLineChars="0"/>
        <w:jc w:val="center"/>
        <w:rPr>
          <w:rFonts w:hint="eastAsia"/>
          <w:b/>
          <w:sz w:val="36"/>
          <w:szCs w:val="20"/>
        </w:rPr>
      </w:pPr>
      <w:r>
        <w:rPr>
          <w:rFonts w:hint="eastAsia"/>
          <w:b/>
          <w:sz w:val="36"/>
          <w:szCs w:val="20"/>
        </w:rPr>
        <w:t>FlashGlyph：面向可读性的对齐—语义—拓扑三重约束少步蒸馏框架</w:t>
      </w:r>
    </w:p>
    <w:p w14:paraId="0BCC549E">
      <w:pPr>
        <w:ind w:firstLine="0" w:firstLineChars="0"/>
        <w:jc w:val="center"/>
        <w:rPr>
          <w:rFonts w:hint="default" w:eastAsia="宋体"/>
          <w:sz w:val="28"/>
          <w:szCs w:val="28"/>
          <w:vertAlign w:val="superscript"/>
          <w:lang w:val="en-US" w:eastAsia="zh-CN"/>
        </w:rPr>
      </w:pPr>
      <w:r>
        <w:rPr>
          <w:rFonts w:hint="eastAsia"/>
          <w:sz w:val="28"/>
          <w:szCs w:val="28"/>
        </w:rPr>
        <w:t>张雨航</w:t>
      </w:r>
      <w:r>
        <w:rPr>
          <w:rFonts w:hint="eastAsia"/>
          <w:sz w:val="28"/>
          <w:szCs w:val="28"/>
          <w:vertAlign w:val="superscript"/>
        </w:rPr>
        <w:t>1</w:t>
      </w:r>
      <w:r>
        <w:rPr>
          <w:sz w:val="28"/>
        </w:rPr>
        <w:t>，</w:t>
      </w:r>
      <w:r>
        <w:rPr>
          <w:rFonts w:hint="eastAsia"/>
          <w:sz w:val="28"/>
          <w:lang w:val="en-US" w:eastAsia="zh-CN"/>
        </w:rPr>
        <w:t>陈阳</w:t>
      </w:r>
      <w:r>
        <w:rPr>
          <w:rFonts w:hint="eastAsia"/>
          <w:sz w:val="28"/>
          <w:vertAlign w:val="superscript"/>
          <w:lang w:val="en-US" w:eastAsia="zh-CN"/>
        </w:rPr>
        <w:t>*</w:t>
      </w:r>
    </w:p>
    <w:p w14:paraId="293D0B1E">
      <w:pPr>
        <w:ind w:firstLine="0" w:firstLineChars="0"/>
        <w:jc w:val="center"/>
        <w:rPr>
          <w:sz w:val="18"/>
        </w:rPr>
      </w:pPr>
      <w:r>
        <w:rPr>
          <w:sz w:val="18"/>
        </w:rPr>
        <w:t>（</w:t>
      </w:r>
      <w:r>
        <w:rPr>
          <w:rFonts w:hint="eastAsia"/>
          <w:sz w:val="18"/>
        </w:rPr>
        <w:t>1.东南大学软件学院，南京，211189</w:t>
      </w:r>
      <w:r>
        <w:rPr>
          <w:sz w:val="18"/>
        </w:rPr>
        <w:t>）</w:t>
      </w:r>
    </w:p>
    <w:p w14:paraId="25E05258">
      <w:pPr>
        <w:ind w:firstLine="0" w:firstLineChars="0"/>
        <w:rPr>
          <w:sz w:val="18"/>
        </w:rPr>
      </w:pPr>
      <w:r>
        <w:rPr>
          <w:rFonts w:hint="eastAsia"/>
          <w:b/>
          <w:sz w:val="18"/>
        </w:rPr>
        <w:t>摘  要：</w:t>
      </w:r>
      <w:r>
        <w:rPr>
          <w:bCs/>
          <w:sz w:val="18"/>
        </w:rPr>
        <w:t>场景文本编辑旨在在修改图像中文本内容的同时，保持背景纹理、光照条件和几何透视的一致性。</w:t>
      </w:r>
      <w:r>
        <w:rPr>
          <w:rFonts w:hint="eastAsia"/>
          <w:bCs/>
          <w:sz w:val="18"/>
        </w:rPr>
        <w:t>现有以AnyText2为代表的扩散式方法在字形控制和视觉融合方面效果较好，但通常依赖多步迭代采样，推理延迟较高，难以满足实时交互需求。潜在一致性模型（LCM）虽可将推理压缩至少数步骤，但在场景文本编辑中易产生字符位置漂移、字符语义错误以及笔画断裂或粘连等问题，导致文本可读性显著下降。为此，本文提出FlashGlyph，一种面向场景文本编辑的可读性保持少步蒸馏框架。该方法在LCM-LoRA蒸馏基础上，引入注意力对齐约束、OCR语义监督和拓扑一致性约束，分别用于缓解位置漂移、抑制伪字符并保持笔画连通性；同时结合轻量细节增强项进一步提升局部清晰度。基于AnyWord-3M数据集的实验表明，在4步推理条件下，FlashGlyph能在可读性、视觉质量与推理效率之间取得更优折中。</w:t>
      </w:r>
    </w:p>
    <w:p w14:paraId="29C3C8A5">
      <w:pPr>
        <w:ind w:firstLine="0" w:firstLineChars="0"/>
        <w:rPr>
          <w:sz w:val="18"/>
        </w:rPr>
      </w:pPr>
      <w:r>
        <w:rPr>
          <w:rFonts w:hint="eastAsia"/>
          <w:b/>
          <w:sz w:val="18"/>
        </w:rPr>
        <w:t>关键词：</w:t>
      </w:r>
      <w:r>
        <w:rPr>
          <w:rFonts w:hint="eastAsia"/>
          <w:bCs/>
          <w:sz w:val="18"/>
        </w:rPr>
        <w:t>场景文本编辑；扩散模型；一致性蒸馏；LCM；注意力蒸馏</w:t>
      </w:r>
    </w:p>
    <w:p w14:paraId="56F53124">
      <w:pPr>
        <w:ind w:firstLine="0" w:firstLineChars="0"/>
        <w:jc w:val="center"/>
        <w:rPr>
          <w:rFonts w:hint="eastAsia"/>
          <w:b/>
          <w:sz w:val="36"/>
          <w:szCs w:val="20"/>
        </w:rPr>
      </w:pPr>
      <w:r>
        <w:rPr>
          <w:rFonts w:hint="eastAsia"/>
          <w:b/>
          <w:sz w:val="36"/>
          <w:szCs w:val="20"/>
        </w:rPr>
        <w:t>FlashGlyph: Readability-Driven Triple-Constraint Few-Step Distillation Framework for Scene Text Editing</w:t>
      </w:r>
    </w:p>
    <w:p w14:paraId="176B0BB2">
      <w:pPr>
        <w:ind w:firstLine="0" w:firstLineChars="0"/>
        <w:jc w:val="center"/>
        <w:rPr>
          <w:rFonts w:hint="default" w:eastAsia="宋体"/>
          <w:sz w:val="28"/>
          <w:szCs w:val="28"/>
          <w:lang w:val="en-US" w:eastAsia="zh-CN"/>
        </w:rPr>
      </w:pPr>
      <w:r>
        <w:rPr>
          <w:rFonts w:hint="eastAsia"/>
          <w:sz w:val="28"/>
          <w:szCs w:val="28"/>
        </w:rPr>
        <w:t>Zhang YuHang</w:t>
      </w:r>
      <w:r>
        <w:rPr>
          <w:rFonts w:hint="eastAsia"/>
          <w:sz w:val="28"/>
          <w:szCs w:val="28"/>
          <w:vertAlign w:val="superscript"/>
        </w:rPr>
        <w:t>1</w:t>
      </w:r>
      <w:r>
        <w:rPr>
          <w:rFonts w:hint="eastAsia"/>
          <w:sz w:val="28"/>
        </w:rPr>
        <w:t>,</w:t>
      </w:r>
      <w:r>
        <w:rPr>
          <w:rFonts w:hint="eastAsia"/>
          <w:sz w:val="28"/>
          <w:lang w:val="en-US" w:eastAsia="zh-CN"/>
        </w:rPr>
        <w:t xml:space="preserve"> Chen Yang</w:t>
      </w:r>
      <w:r>
        <w:rPr>
          <w:rFonts w:hint="eastAsia"/>
          <w:sz w:val="28"/>
          <w:vertAlign w:val="superscript"/>
          <w:lang w:val="en-US" w:eastAsia="zh-CN"/>
        </w:rPr>
        <w:t>*</w:t>
      </w:r>
    </w:p>
    <w:p w14:paraId="00AC686F">
      <w:pPr>
        <w:ind w:firstLine="0" w:firstLineChars="0"/>
        <w:jc w:val="center"/>
        <w:rPr>
          <w:sz w:val="18"/>
        </w:rPr>
      </w:pPr>
      <w:r>
        <w:rPr>
          <w:sz w:val="18"/>
        </w:rPr>
        <w:t>(</w:t>
      </w:r>
      <w:r>
        <w:rPr>
          <w:rFonts w:hint="eastAsia"/>
          <w:sz w:val="18"/>
        </w:rPr>
        <w:t>1. College of Software Engineering</w:t>
      </w:r>
      <w:r>
        <w:rPr>
          <w:sz w:val="18"/>
        </w:rPr>
        <w:t>,</w:t>
      </w:r>
      <w:r>
        <w:rPr>
          <w:rFonts w:hint="eastAsia"/>
          <w:sz w:val="18"/>
        </w:rPr>
        <w:t xml:space="preserve"> </w:t>
      </w:r>
      <w:r>
        <w:rPr>
          <w:sz w:val="18"/>
        </w:rPr>
        <w:t>Southeast University</w:t>
      </w:r>
      <w:r>
        <w:rPr>
          <w:rFonts w:hint="eastAsia"/>
          <w:sz w:val="18"/>
        </w:rPr>
        <w:t xml:space="preserve">, </w:t>
      </w:r>
      <w:r>
        <w:rPr>
          <w:sz w:val="18"/>
        </w:rPr>
        <w:t>Nanjin</w:t>
      </w:r>
      <w:r>
        <w:rPr>
          <w:rFonts w:hint="eastAsia"/>
          <w:sz w:val="18"/>
        </w:rPr>
        <w:t>g, 211189;</w:t>
      </w:r>
      <w:r>
        <w:rPr>
          <w:sz w:val="18"/>
        </w:rPr>
        <w:t>)</w:t>
      </w:r>
    </w:p>
    <w:p w14:paraId="712F29B6">
      <w:pPr>
        <w:ind w:firstLine="0" w:firstLineChars="0"/>
        <w:rPr>
          <w:sz w:val="18"/>
        </w:rPr>
      </w:pPr>
      <w:r>
        <w:rPr>
          <w:b/>
          <w:sz w:val="18"/>
        </w:rPr>
        <w:t>Abstract:</w:t>
      </w:r>
      <w:r>
        <w:rPr>
          <w:rFonts w:hint="eastAsia"/>
          <w:b/>
          <w:sz w:val="18"/>
        </w:rPr>
        <w:t xml:space="preserve"> </w:t>
      </w:r>
      <w:r>
        <w:rPr>
          <w:rFonts w:hint="eastAsia"/>
          <w:sz w:val="18"/>
        </w:rPr>
        <w:t>Scene text editing aims to accurately insert or replace text in images while preserving background and visual consistency. Existing diffusion-based methods, typified by AnyText2, have shown strong performance in glyph controllability and visual blending. However, they typically require multi-step iterative sampling, leading to high inference latency and thus limiting their use in real-time interactive applications. Although Latent Consistency Models (LCMs) can reduce the number of inference steps to only a few, directly applying them to scene text editing often causes noticeable degradations in text readability, including character position drift, semantic character errors, and topological distortions such as stroke breakage or adhesion. To address these issues, we propose FlashGlyph, a readability-preserving few-step distillation framework for scene text editing. Built upon LCM-LoRA distillation, FlashGlyph introduces three complementary constraints: an attention alignment constraint to mitigate position drift, OCR-based semantic supervision to suppress pseudo-characters, and a topological consistency constraint to preserve stroke connectivity. In addition, a lightweight detail enhancement term is incorporated to further improve local sharpness. Experiments on the AnyWord-3M dataset demonstrate that, under a 4-step inference setting, FlashGlyph achieves a better trade-off among readability, visual quality, and inference efficiency.</w:t>
      </w:r>
    </w:p>
    <w:p w14:paraId="39601E95">
      <w:pPr>
        <w:ind w:firstLine="0" w:firstLineChars="0"/>
        <w:rPr>
          <w:sz w:val="18"/>
        </w:rPr>
      </w:pPr>
      <w:r>
        <w:rPr>
          <w:b/>
          <w:sz w:val="18"/>
        </w:rPr>
        <w:t>Key words:</w:t>
      </w:r>
      <w:r>
        <w:rPr>
          <w:bCs/>
          <w:sz w:val="18"/>
        </w:rPr>
        <w:t xml:space="preserve"> </w:t>
      </w:r>
      <w:r>
        <w:rPr>
          <w:rFonts w:hint="eastAsia"/>
          <w:bCs/>
          <w:sz w:val="18"/>
        </w:rPr>
        <w:t>Scene text editing; Diffusion models; Consistency distillation; LCM; Attention distillation</w:t>
      </w:r>
    </w:p>
    <w:p w14:paraId="37821C10">
      <w:pPr>
        <w:ind w:firstLine="360"/>
        <w:rPr>
          <w:sz w:val="18"/>
        </w:rPr>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701" w:left="1134" w:header="851" w:footer="992" w:gutter="0"/>
          <w:cols w:space="720" w:num="1"/>
          <w:docGrid w:type="linesAndChars" w:linePitch="312" w:charSpace="0"/>
        </w:sectPr>
      </w:pPr>
    </w:p>
    <w:p w14:paraId="162EA436">
      <w:pPr>
        <w:ind w:firstLine="420"/>
      </w:pPr>
      <w:r>
        <w:t>场景文本编辑旨在在修改图像中文本内容的同时，保持背景纹理、光照条件和几何透视的一致性。与通用图像编辑不同，文本是一类高度结构化且语义敏感的视觉目标，其可读性不仅取决于整体外观是否自然，更依赖于字符布局、笔画连通性、孔洞</w:t>
      </w:r>
    </w:p>
    <w:p w14:paraId="68CDE302">
      <w:pPr>
        <w:ind w:firstLine="420"/>
      </w:pPr>
    </w:p>
    <w:p w14:paraId="3D8AB1DF">
      <w:pPr>
        <w:ind w:firstLine="0" w:firstLineChars="0"/>
      </w:pPr>
      <w:r>
        <w:rPr>
          <w:b/>
          <w:sz w:val="18"/>
          <w:szCs w:val="1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485900" cy="0"/>
                <wp:effectExtent l="0" t="4445" r="0" b="5080"/>
                <wp:wrapNone/>
                <wp:docPr id="1" name="直线 298"/>
                <wp:cNvGraphicFramePr/>
                <a:graphic xmlns:a="http://schemas.openxmlformats.org/drawingml/2006/main">
                  <a:graphicData uri="http://schemas.microsoft.com/office/word/2010/wordprocessingShape">
                    <wps:wsp>
                      <wps:cNvCnPr/>
                      <wps:spPr>
                        <a:xfrm>
                          <a:off x="0" y="0"/>
                          <a:ext cx="1485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98" o:spid="_x0000_s1026" o:spt="20" style="position:absolute;left:0pt;margin-left:0pt;margin-top:0pt;height:0pt;width:117pt;z-index:251659264;mso-width-relative:page;mso-height-relative:page;" filled="f" stroked="t" coordsize="21600,21600" o:gfxdata="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406Li0AAAAAIBAAAPAAAAAAAA&#10;AAEAIAAAACIAAABkcnMvZG93bnJldi54bWxQSwECFAAUAAAACACHTuJAlrRiWeEBAADRAwAADgAA&#10;AAAAAAABACAAAAAfAQAAZHJzL2Uyb0RvYy54bWxQSwUGAAAAAAYABgBZAQAAcgUAAAAA&#10;">
                <v:fill on="f" focussize="0,0"/>
                <v:stroke color="#000000" joinstyle="round"/>
                <v:imagedata o:title=""/>
                <o:lock v:ext="edit" aspectratio="f"/>
              </v:line>
            </w:pict>
          </mc:Fallback>
        </mc:AlternateContent>
      </w:r>
      <w:r>
        <w:rPr>
          <w:rFonts w:hint="eastAsia"/>
          <w:b/>
          <w:sz w:val="18"/>
          <w:szCs w:val="18"/>
        </w:rPr>
        <w:t>作者简介：张雨航</w:t>
      </w:r>
      <w:r>
        <w:rPr>
          <w:rFonts w:hint="eastAsia"/>
          <w:sz w:val="18"/>
          <w:szCs w:val="18"/>
        </w:rPr>
        <w:t>，（2000-），男，硕士研究生，220234856@seu.edu.cn.；</w:t>
      </w:r>
    </w:p>
    <w:p w14:paraId="342B7D99">
      <w:pPr>
        <w:ind w:firstLine="0" w:firstLineChars="0"/>
      </w:pPr>
      <w:r>
        <w:t>结构和边缘清晰度等细粒度形态特征。对于这类目标，即便是轻微的断笔、粘连或孔洞闭合，也可能直接导致字符识别错误，从而显著破坏编辑结果的可用性。</w:t>
      </w:r>
    </w:p>
    <w:p w14:paraId="037E2449">
      <w:pPr>
        <w:ind w:firstLine="420"/>
      </w:pPr>
      <w:r>
        <w:t>早期场景文本编辑方法多采用“文本定位/分割—背景修复—文本渲染与融合”的分阶段流程，例如SRNet、STEFANN和SwapText等。这类方法具有较强的模块可解释性，但通常依赖文本检测、几何校正和字体建模等多个前置环节，误差容易在流水线中逐级累积，因此在复杂背景、多语言字形以及任意形变场景下，往往难以同时保证编辑质量、语义准确性与端到端鲁棒性。</w:t>
      </w:r>
    </w:p>
    <w:p w14:paraId="1942C5DC">
      <w:pPr>
        <w:ind w:firstLine="420"/>
      </w:pPr>
      <w:r>
        <w:t>扩散模型的发展为场景文本生成与编辑提供了新的统一范式。近年来，TextDiffuser系列、GlyphControl、GlyphDraw、AnyText及AnyText2等方法在布局建模、字形控制和背景融合等方面持续提升了生成质量与可控性。特别是AnyText2，进一步推动了多语言文本生成与编辑的统一建模，并显著增强了背景融合能力。然而，这类扩散式专用模型在推理时通常仍依赖20～50步迭代采样，端到端延迟达到秒级，难以满足移动端交互编辑、即时翻译和实时预览等低时延应用场景的需求。</w:t>
      </w:r>
    </w:p>
    <w:p w14:paraId="31AD4B62">
      <w:pPr>
        <w:ind w:firstLine="420"/>
      </w:pPr>
      <w:r>
        <w:t>为缓解扩散模型的推理开销，少步推理近年来成为生成模型加速的重要方向。训练无关方法如DDIM、DPM-Solver/++和UniPC，可以在不改变模型参数的前提下减少采样步数；进一步地，Progressive Distillation、Consistency Models和Latent Consistency Models（LCM）等训练相关方法通过蒸馏或一致性学习直接逼近短路径映射，从而将推理压缩至2～4步。尽管这些方法在通用图像生成中取得了较好的速度—质量折中，我们观察到，直接将通用少步蒸馏应用于场景文本编辑时，往往会引发明显的</w:t>
      </w:r>
      <w:r>
        <w:rPr>
          <w:rFonts w:hint="eastAsia"/>
        </w:rPr>
        <w:t>可读性坍塌</w:t>
      </w:r>
      <w:r>
        <w:t>。这种退化并不只是一般意义上的细节模糊，而是集中体现为三类与文本结构密切相关的问题：字符位置漂移与重影、字符语义错误或伪字符生成，以及笔画断裂、粘连和孔洞闭合等拓扑损伤。</w:t>
      </w:r>
    </w:p>
    <w:p w14:paraId="6031CCDC">
      <w:pPr>
        <w:ind w:firstLine="420"/>
      </w:pPr>
      <w:r>
        <w:t>这一现象表明，场景文本编辑中的少步退化并非简单的纹理损失，而是对齐、语义与拓扑三类结构约束的系统性失配。基于这一观察，本文提出 FlashGlyph，一种面向场景文本编辑的可读性驱动少步蒸馏框架。不同于将少步蒸馏直接视为通用生成加速问题，FlashGlyph将文本可读性建模为空间对齐、字符语义与笔画拓扑共同决定的结构化目标，并围绕这三个维度对学生模型施加针对性约束。具体而言，本文以冻结的AnyText2作为教师模型，基于 LCM-LoRA 进行参数高效的一致性蒸馏；在此基础上，通过对控制分支Cross-Attention的响应分布进行蒸馏，稳定“文本token—空间区域”的对应关系；通过引入冻结OCR识别器并结合CTC语义监督，抑制少步推理中的伪字符现象；通过软骨架化与clDice构造拓扑一致性约束，显式保持笔画连通性与孔洞结构。通过上述设计，FlashGlyph将少步蒸馏从“仅追求采样压缩”转化为“面向文本可读性的结构化蒸馏”。</w:t>
      </w:r>
    </w:p>
    <w:p w14:paraId="46DB7038">
      <w:pPr>
        <w:ind w:firstLine="420"/>
        <w:rPr>
          <w:rFonts w:hint="eastAsia"/>
        </w:rPr>
      </w:pPr>
      <w:r>
        <w:t>本文的主要贡献如下：</w:t>
      </w:r>
      <w:r>
        <w:br w:type="textWrapping"/>
      </w:r>
      <w:r>
        <w:t>（1）指出了少步场景文本编辑中的</w:t>
      </w:r>
      <w:r>
        <w:rPr>
          <w:rFonts w:hint="eastAsia"/>
        </w:rPr>
        <w:t>可读性坍塌</w:t>
      </w:r>
      <w:r>
        <w:t>问题，并将其归纳为对齐、语义与拓扑三类结构性退化；</w:t>
      </w:r>
      <w:r>
        <w:br w:type="textWrapping"/>
      </w:r>
      <w:r>
        <w:t>（2）提出了FlashGlyph，一种结合注意力对齐蒸馏、OCR-CTC语义监督与拓扑一致性约束的少步蒸馏框架；</w:t>
      </w:r>
      <w:r>
        <w:br w:type="textWrapping"/>
      </w:r>
      <w:r>
        <w:t>（3）在AnyWord-3M数据集上的实验</w:t>
      </w:r>
      <w:r>
        <w:rPr>
          <w:rFonts w:hint="eastAsia"/>
        </w:rPr>
        <w:t>表明</w:t>
      </w:r>
      <w:r>
        <w:t>，FlashGlyph在4步推理设置下能够显著提升外部OCR可读性，并在推理效率与视觉质量之间取得更优平衡。</w:t>
      </w:r>
    </w:p>
    <w:p w14:paraId="6B6CEC75">
      <w:pPr>
        <w:pStyle w:val="2"/>
        <w:numPr>
          <w:ilvl w:val="0"/>
          <w:numId w:val="0"/>
        </w:numPr>
        <w:tabs>
          <w:tab w:val="clear" w:pos="425"/>
        </w:tabs>
        <w:spacing w:before="156" w:after="156"/>
      </w:pPr>
      <w:r>
        <w:rPr>
          <w:rFonts w:hint="eastAsia"/>
        </w:rPr>
        <w:t>1相关工作</w:t>
      </w:r>
    </w:p>
    <w:p w14:paraId="4CB835B8">
      <w:pPr>
        <w:pStyle w:val="3"/>
        <w:numPr>
          <w:ilvl w:val="1"/>
          <w:numId w:val="0"/>
        </w:numPr>
        <w:tabs>
          <w:tab w:val="clear" w:pos="567"/>
        </w:tabs>
        <w:spacing w:before="156" w:after="156"/>
      </w:pPr>
      <w:r>
        <w:rPr>
          <w:rFonts w:hint="eastAsia"/>
        </w:rPr>
        <w:t>1.1场景文本编辑与生成</w:t>
      </w:r>
    </w:p>
    <w:p w14:paraId="6466B078">
      <w:pPr>
        <w:ind w:firstLine="420"/>
      </w:pPr>
      <w:r>
        <w:t>传统场景文本编辑方法多采用“文本定位/分割—背景修复—文本渲染与融合”的分阶段流程。典型工作如SRNet、STEFANN和SwapText等，分别从内容与风格分解、字体适配和阶段化交换等角度提升场景文本替换质量</w:t>
      </w:r>
      <w:r>
        <w:rPr>
          <w:vertAlign w:val="superscript"/>
        </w:rPr>
        <w:t>[14–16]</w:t>
      </w:r>
      <w:r>
        <w:t>。这类方法具有较强的模块可解释性，但通常依赖文本检测、几何校正和字体建模等前置步骤，误差容易在流水线中累积，因此在复杂背景、多语言复杂字形以及任意形变文本场景下，往往难以兼顾端到端一致性与编辑鲁棒性。</w:t>
      </w:r>
    </w:p>
    <w:p w14:paraId="528CE367">
      <w:pPr>
        <w:ind w:firstLine="420"/>
      </w:pPr>
      <w:r>
        <w:t>扩散模型的发展为场景文本生成与编辑提供了新的端到端范式</w:t>
      </w:r>
      <w:r>
        <w:rPr>
          <w:vertAlign w:val="superscript"/>
        </w:rPr>
        <w:t>[1,6]</w:t>
      </w:r>
      <w:r>
        <w:t>。TextDiffuser系列通过布局规划与扩散渲染提升文本内容与布局一致性</w:t>
      </w:r>
      <w:r>
        <w:rPr>
          <w:vertAlign w:val="superscript"/>
        </w:rPr>
        <w:t>[17,18]</w:t>
      </w:r>
      <w:r>
        <w:t>；GlyphControl和GlyphDraw等方法则利用glyph先验与空间结构增强复杂场景下的文字渲染稳定性</w:t>
      </w:r>
      <w:r>
        <w:rPr>
          <w:vertAlign w:val="superscript"/>
        </w:rPr>
        <w:t>[19,20]</w:t>
      </w:r>
      <w:r>
        <w:t>。AnyText提出了统一的多语言视觉文本生成与编辑框架，并构建了AnyWord-3M数据集</w:t>
      </w:r>
      <w:r>
        <w:rPr>
          <w:vertAlign w:val="superscript"/>
        </w:rPr>
        <w:t>[21]</w:t>
      </w:r>
      <w:r>
        <w:t>；AnyText2在此基础上进一步提升了属性控制能力与背景融合效果</w:t>
      </w:r>
      <w:r>
        <w:rPr>
          <w:vertAlign w:val="superscript"/>
        </w:rPr>
        <w:t>[22]</w:t>
      </w:r>
      <w:r>
        <w:t>。尽管这些扩散式方法在生成质量和可控性方面取得了显著进展，但其推理通常仍依赖20～50步采样，难以满足低时延交互应用的需求。</w:t>
      </w:r>
    </w:p>
    <w:p w14:paraId="5C2E8B14">
      <w:pPr>
        <w:ind w:firstLine="420"/>
        <w:rPr>
          <w:rFonts w:hint="eastAsia"/>
        </w:rPr>
      </w:pPr>
      <w:r>
        <w:t>总体而言，现有场景文本编辑方法已经在视觉质量与控制能力方面取得明显进步，但对于如何在极少推理步数下同时保持文本可读性、结构稳定性与视觉一致性，仍缺乏系统研究。</w:t>
      </w:r>
    </w:p>
    <w:p w14:paraId="252D47DF">
      <w:pPr>
        <w:pStyle w:val="3"/>
        <w:numPr>
          <w:ilvl w:val="1"/>
          <w:numId w:val="0"/>
        </w:numPr>
        <w:tabs>
          <w:tab w:val="clear" w:pos="567"/>
        </w:tabs>
        <w:spacing w:before="156" w:after="156"/>
      </w:pPr>
      <w:r>
        <w:rPr>
          <w:rFonts w:hint="eastAsia"/>
        </w:rPr>
        <w:t>1.2扩散模型加速与一致性蒸馏</w:t>
      </w:r>
    </w:p>
    <w:p w14:paraId="594314B7">
      <w:pPr>
        <w:ind w:firstLine="420"/>
      </w:pPr>
      <w:r>
        <w:t>扩散模型加速方法大致可分为训练无关和训练相关两类。训练无关方法主要通过设计更高效的数值求解器来减少采样步数，代表性方法包括DDIM、DPM-Solver、DPM-Solver++和UniPC等</w:t>
      </w:r>
      <w:r>
        <w:rPr>
          <w:vertAlign w:val="superscript"/>
        </w:rPr>
        <w:t>[2–5]</w:t>
      </w:r>
      <w:r>
        <w:t>。这类方法通常能够在不修改模型参数的前提下显著降低推理成本，但当步数进一步压缩时，生成质量往往明显下降。对于文本这类高度结构化且边界敏感的目标，这种退化通常更加突出。</w:t>
      </w:r>
    </w:p>
    <w:p w14:paraId="59409C10">
      <w:pPr>
        <w:ind w:firstLine="420"/>
        <w:rPr>
          <w:rFonts w:hint="eastAsia"/>
        </w:rPr>
      </w:pPr>
      <w:r>
        <w:t>训练相关方法则通过显式学习少步生成映射实现更激进的推理压缩。Progressive Distillation、Consistency Models和Latent Consistency Model（LCM）分别从递进蒸馏、一致性训练和潜空间建模等角度实现了2～4步生成</w:t>
      </w:r>
      <w:r>
        <w:rPr>
          <w:vertAlign w:val="superscript"/>
        </w:rPr>
        <w:t>[7–9]</w:t>
      </w:r>
      <w:r>
        <w:t>，而LCM-LoRA等参数高效策略进一步降低了蒸馏适配成本</w:t>
      </w:r>
      <w:r>
        <w:rPr>
          <w:vertAlign w:val="superscript"/>
        </w:rPr>
        <w:t>[10]</w:t>
      </w:r>
      <w:r>
        <w:t>。然而，现有一致性蒸馏目标大多仍以MSE、Huber等点对点误差为主，更倾向于优化全局平均重建误差，缺乏针对文本区域的专门归纳偏置。因此，在场景文本编辑任务中，通用少步蒸馏方法往往能够保持背景区域的整体自然性，却难以稳定约束字符语义、笔画连通性以及glyph与空间位置之间的条件对应关系。</w:t>
      </w:r>
    </w:p>
    <w:p w14:paraId="384FD7B0">
      <w:pPr>
        <w:pStyle w:val="3"/>
        <w:numPr>
          <w:ilvl w:val="1"/>
          <w:numId w:val="0"/>
        </w:numPr>
        <w:tabs>
          <w:tab w:val="clear" w:pos="567"/>
        </w:tabs>
        <w:spacing w:before="156" w:after="156"/>
      </w:pPr>
      <w:r>
        <w:rPr>
          <w:rFonts w:hint="eastAsia"/>
        </w:rPr>
        <w:t>1.3面向可读性的对齐、语义与拓扑约束</w:t>
      </w:r>
    </w:p>
    <w:p w14:paraId="49436B57">
      <w:pPr>
        <w:ind w:firstLine="420"/>
      </w:pPr>
      <w:r>
        <w:t>为提升结构化生成或局部编辑的稳定性，已有研究在对齐、语义和拓扑等层面引入了额外约束，这些工作为场景文本编辑中的可读性保持提供了重要启发。</w:t>
      </w:r>
    </w:p>
    <w:p w14:paraId="3A79BACD">
      <w:pPr>
        <w:ind w:firstLine="420"/>
      </w:pPr>
      <w:r>
        <w:t>在对齐约束方面，Cross-Attention已被广泛用于提示词驱动编辑与区域一致性控制。Prompt-to-Prompt通过操控 Cross-Attention 响应实现精细编辑</w:t>
      </w:r>
      <w:r>
        <w:rPr>
          <w:vertAlign w:val="superscript"/>
        </w:rPr>
        <w:t>[13]</w:t>
      </w:r>
      <w:r>
        <w:t>，ControlNet则通过引入外部结构条件稳定保留布局与边缘信息</w:t>
      </w:r>
      <w:r>
        <w:rPr>
          <w:vertAlign w:val="superscript"/>
        </w:rPr>
        <w:t>[12]</w:t>
      </w:r>
      <w:r>
        <w:t>。这些工作表明，中间注意力表示能够有效编码条件信息与空间区域之间的对应关系，但针对少步蒸馏中条件引导减弱所导致的文本错位问题，仍缺乏专门建模。</w:t>
      </w:r>
    </w:p>
    <w:p w14:paraId="6B002E46">
      <w:pPr>
        <w:ind w:firstLine="420"/>
      </w:pPr>
      <w:r>
        <w:t>在语义约束方面，基于识别器的监督已被证明能够直接提升文本生成结果的可识别性。典型形式包括字符级交叉熵和基于CTC的序列监督</w:t>
      </w:r>
      <w:r>
        <w:rPr>
          <w:vertAlign w:val="superscript"/>
        </w:rPr>
        <w:t>[23]</w:t>
      </w:r>
      <w:r>
        <w:t>。相关工作表明，引入外部OCR或识别器监督有助于抑制“视觉上像字、语义上错误”的伪字符现象</w:t>
      </w:r>
      <w:r>
        <w:rPr>
          <w:vertAlign w:val="superscript"/>
        </w:rPr>
        <w:t>[23]</w:t>
      </w:r>
      <w:r>
        <w:t>，但这类监督在少步一致性蒸馏框架中的系统应用仍较为有限。</w:t>
      </w:r>
    </w:p>
    <w:p w14:paraId="00FC318A">
      <w:pPr>
        <w:ind w:firstLine="420"/>
      </w:pPr>
      <w:r>
        <w:t>在拓扑约束方面，clDice与软骨架化已在血管分割、道路提取等细长结构任务中被广泛用于保持连通性与拓扑一致性</w:t>
      </w:r>
      <w:r>
        <w:rPr>
          <w:vertAlign w:val="superscript"/>
        </w:rPr>
        <w:t>[28]</w:t>
      </w:r>
      <w:r>
        <w:t>。文本笔画在形态上同样具有细长、稀疏且对局部断裂高度敏感的特征，因此拓扑一致性约束对文本区域同样具有潜在价值。但在现有场景文本编辑与扩散蒸馏研究中，对文本笔画拓扑进行显式建模的工作仍然较少。</w:t>
      </w:r>
    </w:p>
    <w:p w14:paraId="2B00ACE6">
      <w:pPr>
        <w:ind w:firstLine="420"/>
        <w:rPr>
          <w:rFonts w:hint="eastAsia"/>
        </w:rPr>
      </w:pPr>
      <w:r>
        <w:t>综上，现有研究分别在场景文本编辑、扩散模型加速以及结构化约束方面奠定了基础，但针对少步场景文本编辑中的可读性保持问题，尤其是对齐、语义与拓扑三类约束的联合建模，仍缺乏统一而系统的解决方案。</w:t>
      </w:r>
    </w:p>
    <w:p w14:paraId="2EC47AAC">
      <w:pPr>
        <w:pStyle w:val="2"/>
        <w:numPr>
          <w:ilvl w:val="0"/>
          <w:numId w:val="0"/>
        </w:numPr>
        <w:tabs>
          <w:tab w:val="clear" w:pos="425"/>
        </w:tabs>
        <w:spacing w:before="156" w:after="156"/>
      </w:pPr>
      <w:r>
        <w:rPr>
          <w:rFonts w:hint="eastAsia"/>
        </w:rPr>
        <w:t>2方法</w:t>
      </w:r>
    </w:p>
    <w:p w14:paraId="42A2D627">
      <w:pPr>
        <w:pStyle w:val="3"/>
        <w:numPr>
          <w:ilvl w:val="1"/>
          <w:numId w:val="0"/>
        </w:numPr>
        <w:tabs>
          <w:tab w:val="clear" w:pos="567"/>
        </w:tabs>
        <w:spacing w:before="156" w:after="156"/>
      </w:pPr>
      <w:r>
        <w:rPr>
          <w:rFonts w:hint="eastAsia"/>
        </w:rPr>
        <w:t>2.1问题定义与总体框架</w:t>
      </w:r>
    </w:p>
    <w:p w14:paraId="2729B5CC">
      <w:pPr>
        <w:ind w:firstLine="420"/>
      </w:pPr>
      <w:r>
        <w:t>本文研究少步场景文本编辑问题。给定输入图像</w:t>
      </w:r>
      <m:oMath>
        <m:r>
          <m:rPr/>
          <w:rPr>
            <w:rFonts w:hint="eastAsia" w:ascii="Cambria Math" w:hAnsi="Cambria Math"/>
          </w:rPr>
          <m:t>I</m:t>
        </m:r>
      </m:oMath>
      <w:r>
        <w:t>、文本位置与字形等控制条件</w:t>
      </w:r>
      <m:oMath>
        <m:r>
          <m:rPr/>
          <w:rPr>
            <w:rFonts w:ascii="Cambria Math" w:hAnsi="Cambria Math"/>
          </w:rPr>
          <m:t>c</m:t>
        </m:r>
      </m:oMath>
      <w:r>
        <w:rPr>
          <w:rFonts w:hint="eastAsia"/>
        </w:rPr>
        <w:t>，</w:t>
      </w:r>
      <w:r>
        <w:t>以及目标文本内容</w:t>
      </w:r>
      <m:oMath>
        <m:r>
          <m:rPr/>
          <w:rPr>
            <w:rFonts w:ascii="Cambria Math" w:hAnsi="Cambria Math"/>
          </w:rPr>
          <m:t>y</m:t>
        </m:r>
      </m:oMath>
      <w:r>
        <w:rPr>
          <w:rFonts w:hint="eastAsia"/>
        </w:rPr>
        <w:t>，</w:t>
      </w:r>
      <w:r>
        <w:t>目标是在保持背景纹理、光照与几何透视一致性的前提下，对图像中的原有文本进行替换或插入，并在极少推理步数下保持生成文本的可读性与结构稳定性。</w:t>
      </w:r>
    </w:p>
    <w:p w14:paraId="369A6BFA">
      <w:pPr>
        <w:ind w:firstLine="420"/>
      </w:pPr>
      <w:r>
        <w:t>现有少步扩散加速方法主要面向通用自然图像生成，其一致性蒸馏目标更关注整体去噪轨迹的逼近，而缺乏针对文本这一高度结构化目标的专门约束。我们观察到，直接将LCM-LoRA式少步蒸馏用于场景文本编辑时，往往会出现明显的</w:t>
      </w:r>
      <w:r>
        <w:rPr>
          <w:rFonts w:hint="eastAsia"/>
        </w:rPr>
        <w:t>可读性坍塌</w:t>
      </w:r>
      <w:r>
        <w:t>，主要表现为三类结构性退化：字符位置漂移、字符语义错误以及笔画拓扑损伤。</w:t>
      </w:r>
    </w:p>
    <w:p w14:paraId="6459E315">
      <w:pPr>
        <w:ind w:firstLine="420"/>
      </w:pPr>
      <w:r>
        <w:t>基于这一观察，本文提出FlashGlyph，一种面向场景文本编辑的可读性驱动少步蒸馏框架。FlashGlyph采用教师—学生蒸馏结构：教师模型</w:t>
      </w:r>
      <m:oMath>
        <m:r>
          <m:rPr/>
          <w:rPr>
            <w:rFonts w:ascii="Cambria Math" w:hAnsi="Cambria Math"/>
          </w:rPr>
          <m:t>T</m:t>
        </m:r>
      </m:oMath>
      <w:r>
        <w:t>为冻结的AnyText2</w:t>
      </w:r>
      <w:r>
        <w:rPr>
          <w:vertAlign w:val="superscript"/>
        </w:rPr>
        <w:t>[22]</w:t>
      </w:r>
      <w:r>
        <w:t>，学生模型</w:t>
      </w:r>
      <m:oMath>
        <m:sSub>
          <m:sSubPr>
            <m:ctrlPr>
              <w:rPr>
                <w:rFonts w:ascii="Cambria Math" w:hAnsi="Cambria Math"/>
              </w:rPr>
            </m:ctrlPr>
          </m:sSubPr>
          <m:e>
            <m:r>
              <m:rPr>
                <m:sty m:val="p"/>
              </m:rPr>
              <w:rPr>
                <w:rFonts w:ascii="Cambria Math" w:hAnsi="Cambria Math"/>
              </w:rPr>
              <m:t>S</m:t>
            </m:r>
            <m:ctrlPr>
              <w:rPr>
                <w:rFonts w:ascii="Cambria Math" w:hAnsi="Cambria Math"/>
              </w:rPr>
            </m:ctrlPr>
          </m:e>
          <m:sub>
            <m:r>
              <m:rPr>
                <m:sty m:val="p"/>
              </m:rPr>
              <w:rPr>
                <w:rFonts w:ascii="Cambria Math" w:hAnsi="Cambria Math"/>
              </w:rPr>
              <m:t>θ</m:t>
            </m:r>
            <m:ctrlPr>
              <w:rPr>
                <w:rFonts w:ascii="Cambria Math" w:hAnsi="Cambria Math"/>
              </w:rPr>
            </m:ctrlPr>
          </m:sub>
        </m:sSub>
      </m:oMath>
      <w:r>
        <w:t>与教师结构同构，但仅训练注入的LoRA参数</w:t>
      </w:r>
      <m:oMath>
        <m:r>
          <m:rPr>
            <m:sty m:val="p"/>
          </m:rPr>
          <w:rPr>
            <w:rFonts w:ascii="Cambria Math" w:hAnsi="Cambria Math"/>
          </w:rPr>
          <m:t>θ</m:t>
        </m:r>
      </m:oMath>
      <w:r>
        <w:rPr>
          <w:rFonts w:hint="eastAsia"/>
          <w:vertAlign w:val="superscript"/>
        </w:rPr>
        <w:t>[10]</w:t>
      </w:r>
      <w:r>
        <w:rPr>
          <w:rFonts w:hint="eastAsia"/>
        </w:rPr>
        <w:t>。</w:t>
      </w:r>
      <w:r>
        <w:t>在LCM一致性蒸馏主干的基础上</w:t>
      </w:r>
      <w:r>
        <w:rPr>
          <w:vertAlign w:val="superscript"/>
        </w:rPr>
        <w:t>[9]</w:t>
      </w:r>
      <w:r>
        <w:t>，我们将文本可读性分解为三个可优化维度：空间对齐（alignment）、字符语义（semantics）与笔画拓扑（topology），并分别引入注意力对齐蒸馏、OCR-CTC 语义监督和拓扑一致性约束。</w:t>
      </w:r>
    </w:p>
    <w:p w14:paraId="39418409">
      <w:pPr>
        <w:ind w:firstLine="420"/>
      </w:pPr>
      <w:r>
        <w:t>图1给出了FlashGlyph的整体框架。教师模型提供teacher-guided一步转移目标，学生模型通过区域加权的一致性蒸馏学习少步映射，并进一步结合上述三类可读性约束，从而在显著压缩推理步数的同时保持文本区域的结构稳定性与可读性。</w:t>
      </w:r>
    </w:p>
    <w:p w14:paraId="227E87F2">
      <w:pPr>
        <w:ind w:left="0" w:leftChars="0" w:firstLine="0" w:firstLineChars="0"/>
        <w:rPr>
          <w:rFonts w:hint="eastAsia" w:eastAsia="宋体"/>
          <w:lang w:eastAsia="zh-CN"/>
        </w:rPr>
      </w:pPr>
      <w:r>
        <w:rPr>
          <w:rFonts w:hint="eastAsia" w:eastAsia="宋体"/>
          <w:lang w:eastAsia="zh-CN"/>
        </w:rPr>
        <w:drawing>
          <wp:inline distT="0" distB="0" distL="114300" distR="114300">
            <wp:extent cx="2932430" cy="1758315"/>
            <wp:effectExtent l="0" t="0" r="1270" b="13335"/>
            <wp:docPr id="41" name="图片 41" descr="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框架图"/>
                    <pic:cNvPicPr>
                      <a:picLocks noChangeAspect="1"/>
                    </pic:cNvPicPr>
                  </pic:nvPicPr>
                  <pic:blipFill>
                    <a:blip r:embed="rId12"/>
                    <a:stretch>
                      <a:fillRect/>
                    </a:stretch>
                  </pic:blipFill>
                  <pic:spPr>
                    <a:xfrm>
                      <a:off x="0" y="0"/>
                      <a:ext cx="2932430" cy="1758315"/>
                    </a:xfrm>
                    <a:prstGeom prst="rect">
                      <a:avLst/>
                    </a:prstGeom>
                  </pic:spPr>
                </pic:pic>
              </a:graphicData>
            </a:graphic>
          </wp:inline>
        </w:drawing>
      </w:r>
    </w:p>
    <w:p w14:paraId="16821697">
      <w:pPr>
        <w:spacing w:after="156" w:afterLines="50"/>
        <w:ind w:firstLine="0" w:firstLineChars="0"/>
        <w:jc w:val="center"/>
        <w:textAlignment w:val="baseline"/>
      </w:pPr>
      <w:r>
        <w:rPr>
          <w:rFonts w:hint="eastAsia"/>
          <w:sz w:val="18"/>
        </w:rPr>
        <w:t>图1 FlashGlyph总体蒸馏框架示意图</w:t>
      </w:r>
    </w:p>
    <w:p w14:paraId="4B6A6A7E">
      <w:pPr>
        <w:pStyle w:val="3"/>
        <w:numPr>
          <w:ilvl w:val="1"/>
          <w:numId w:val="0"/>
        </w:numPr>
        <w:tabs>
          <w:tab w:val="clear" w:pos="567"/>
        </w:tabs>
        <w:spacing w:before="156" w:after="156"/>
      </w:pPr>
      <w:r>
        <w:rPr>
          <w:rFonts w:hint="eastAsia"/>
        </w:rPr>
        <w:t>2.2基础蒸馏：区域加权的LCM-LoRA一致性蒸馏</w:t>
      </w:r>
    </w:p>
    <w:p w14:paraId="60ECC49B">
      <w:pPr>
        <w:ind w:firstLine="420"/>
      </w:pPr>
      <w:r>
        <w:t>给定输入图像</w:t>
      </w:r>
      <m:oMath>
        <m:r>
          <m:rPr/>
          <w:rPr>
            <w:rFonts w:ascii="Cambria Math" w:hAnsi="Cambria Math"/>
          </w:rPr>
          <m:t>I</m:t>
        </m:r>
      </m:oMath>
      <w:r>
        <w:t>，其经VAE编码器</w:t>
      </w:r>
      <m:oMath>
        <m:r>
          <m:rPr>
            <m:sty m:val="p"/>
            <m:scr m:val="script"/>
          </m:rPr>
          <w:rPr>
            <w:rFonts w:ascii="Cambria Math" w:hAnsi="Cambria Math"/>
          </w:rPr>
          <m:t>ℰ</m:t>
        </m:r>
      </m:oMath>
      <w:r>
        <w:t>映射到潜空间表示</w:t>
      </w:r>
    </w:p>
    <w:p w14:paraId="763F521C">
      <w:pPr>
        <w:wordWrap w:val="0"/>
        <w:ind w:firstLine="420"/>
        <w:jc w:val="right"/>
        <w:rPr>
          <w:rFonts w:hint="eastAsia"/>
        </w:rPr>
      </w:pP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r>
          <m:rPr>
            <m:sty m:val="p"/>
            <m:scr m:val="script"/>
          </m:rPr>
          <w:rPr>
            <w:rFonts w:ascii="Cambria Math" w:hAnsi="Cambria Math"/>
          </w:rPr>
          <m:t>ℰ</m:t>
        </m:r>
        <m:d>
          <m:dPr>
            <m:ctrlPr>
              <w:rPr>
                <w:rFonts w:ascii="Cambria Math" w:hAnsi="Cambria Math"/>
              </w:rPr>
            </m:ctrlPr>
          </m:dPr>
          <m:e>
            <m:r>
              <m:rPr/>
              <w:rPr>
                <w:rFonts w:ascii="Cambria Math" w:hAnsi="Cambria Math"/>
              </w:rPr>
              <m:t>I</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C</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W</m:t>
            </m:r>
            <m:ctrlPr>
              <w:rPr>
                <w:rFonts w:ascii="Cambria Math" w:hAnsi="Cambria Math"/>
              </w:rPr>
            </m:ctrlPr>
          </m:sup>
        </m:sSup>
      </m:oMath>
      <w:r>
        <w:rPr>
          <w:rFonts w:hint="eastAsia"/>
        </w:rPr>
        <w:t xml:space="preserve">        (1)</w:t>
      </w:r>
    </w:p>
    <w:p w14:paraId="763DFA46">
      <w:pPr>
        <w:ind w:firstLine="420"/>
      </w:pPr>
      <w:r>
        <w:t>对于任意时间步</w:t>
      </w:r>
      <m:oMath>
        <m:r>
          <m:rPr/>
          <w:rPr>
            <w:rFonts w:ascii="Cambria Math" w:hAnsi="Cambria Math"/>
          </w:rPr>
          <m:t>t</m:t>
        </m:r>
      </m:oMath>
      <w:r>
        <w:t>，加噪状态为</w:t>
      </w:r>
    </w:p>
    <w:p w14:paraId="42B7443E">
      <w:pPr>
        <w:wordWrap w:val="0"/>
        <w:ind w:firstLine="420"/>
        <w:jc w:val="right"/>
        <w:rPr>
          <w:rFonts w:hint="eastAsia"/>
        </w:rPr>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ϵ</m:t>
        </m:r>
        <m:r>
          <m:rPr>
            <m:sty m:val="p"/>
          </m:rPr>
          <w:rPr>
            <w:rFonts w:ascii="Cambria Math" w:hAnsi="Cambria Math"/>
          </w:rPr>
          <m:t>,</m:t>
        </m:r>
        <m:r>
          <m:rPr/>
          <w:rPr>
            <w:rFonts w:ascii="Cambria Math" w:hAnsi="Cambria Math"/>
          </w:rPr>
          <m:t>ϵ</m:t>
        </m:r>
        <m:r>
          <m:rPr>
            <m:sty m:val="p"/>
            <m:scr m:val="script"/>
          </m:rPr>
          <w:rPr>
            <w:rFonts w:ascii="Cambria Math" w:hAnsi="Cambria Math"/>
          </w:rPr>
          <m:t>∼N</m:t>
        </m:r>
        <m:r>
          <m:rPr>
            <m:sty m:val="p"/>
          </m:rPr>
          <w:rPr>
            <w:rFonts w:ascii="Cambria Math" w:hAnsi="Cambria Math"/>
          </w:rPr>
          <m:t>(0,</m:t>
        </m:r>
        <m:r>
          <m:rPr/>
          <w:rPr>
            <w:rFonts w:ascii="Cambria Math" w:hAnsi="Cambria Math"/>
          </w:rPr>
          <m:t>I</m:t>
        </m:r>
        <m:r>
          <m:rPr>
            <m:sty m:val="p"/>
          </m:rPr>
          <w:rPr>
            <w:rFonts w:ascii="Cambria Math" w:hAnsi="Cambria Math"/>
          </w:rPr>
          <m:t>)</m:t>
        </m:r>
      </m:oMath>
      <w:r>
        <w:rPr>
          <w:rFonts w:hint="eastAsia"/>
        </w:rPr>
        <w:t xml:space="preserve">      (2)</w:t>
      </w:r>
    </w:p>
    <w:p w14:paraId="0BC1DF42">
      <w:pPr>
        <w:ind w:firstLine="420"/>
      </w:pPr>
      <w:r>
        <w:t>遵循LCM的边界条件参数化方式，学生模型学习从</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到边界解的映射。记学生网络预测的无噪潜变量为</w:t>
      </w:r>
      <m:oMath>
        <m:sSubSup>
          <m:sSubSupPr>
            <m:ctrlPr>
              <w:rPr>
                <w:rFonts w:ascii="Cambria Math" w:hAnsi="Cambria Math"/>
              </w:rPr>
            </m:ctrlPr>
          </m:sSubSup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m:sty m:val="p"/>
              </m:rPr>
              <w:rPr>
                <w:rFonts w:ascii="Cambria Math" w:hAnsi="Cambria Math"/>
              </w:rPr>
              <m:t>0</m:t>
            </m:r>
            <m:ctrlPr>
              <w:rPr>
                <w:rFonts w:ascii="Cambria Math" w:hAnsi="Cambria Math"/>
              </w:rPr>
            </m:ctrlPr>
          </m:sub>
          <m:sup>
            <m:r>
              <m:rPr/>
              <w:rPr>
                <w:rFonts w:ascii="Cambria Math" w:hAnsi="Cambria Math"/>
              </w:rPr>
              <m:t>θ</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c</m:t>
        </m:r>
        <m:r>
          <m:rPr>
            <m:sty m:val="p"/>
          </m:rPr>
          <w:rPr>
            <w:rFonts w:ascii="Cambria Math" w:hAnsi="Cambria Math"/>
          </w:rPr>
          <m:t>)</m:t>
        </m:r>
      </m:oMath>
      <w:r>
        <w:t>，则一致性映射定义为</w:t>
      </w:r>
    </w:p>
    <w:p w14:paraId="279EAD90">
      <w:pPr>
        <w:wordWrap w:val="0"/>
        <w:ind w:firstLine="420"/>
        <w:jc w:val="right"/>
        <w:rPr>
          <w:rFonts w:hint="eastAsia"/>
        </w:r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c</m:t>
        </m:r>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skip</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out</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m:sty m:val="p"/>
              </m:rPr>
              <w:rPr>
                <w:rFonts w:ascii="Cambria Math" w:hAnsi="Cambria Math"/>
              </w:rPr>
              <m:t>0</m:t>
            </m:r>
            <m:ctrlPr>
              <w:rPr>
                <w:rFonts w:ascii="Cambria Math" w:hAnsi="Cambria Math"/>
              </w:rPr>
            </m:ctrlPr>
          </m:sub>
          <m:sup>
            <m:r>
              <m:rPr/>
              <w:rPr>
                <w:rFonts w:ascii="Cambria Math" w:hAnsi="Cambria Math"/>
              </w:rPr>
              <m:t>θ</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c</m:t>
        </m:r>
        <m:r>
          <m:rPr>
            <m:sty m:val="p"/>
          </m:rPr>
          <w:rPr>
            <w:rFonts w:ascii="Cambria Math" w:hAnsi="Cambria Math"/>
          </w:rPr>
          <m:t>)</m:t>
        </m:r>
      </m:oMath>
      <w:r>
        <w:rPr>
          <w:rFonts w:hint="eastAsia"/>
        </w:rPr>
        <w:t xml:space="preserve">   (3)</w:t>
      </w:r>
    </w:p>
    <w:p w14:paraId="0D7524D6">
      <w:pPr>
        <w:ind w:firstLine="420"/>
      </w:pPr>
      <w:r>
        <w:t>为构造一致性训练对，我们采用教师引导的一步转移。给定</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，教师侧通过classifier-free guidance 得到预测</w:t>
      </w:r>
      <m:oMath>
        <m:sSubSup>
          <m:sSubSupPr>
            <m:ctrlPr>
              <w:rPr>
                <w:rFonts w:ascii="Cambria Math" w:hAnsi="Cambria Math"/>
              </w:rPr>
            </m:ctrlPr>
          </m:sSubSup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m:sty m:val="p"/>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g</m:t>
            </m:r>
            <m:ctrlPr>
              <w:rPr>
                <w:rFonts w:ascii="Cambria Math" w:hAnsi="Cambria Math"/>
              </w:rPr>
            </m:ctrlPr>
          </m:sup>
        </m:sSubSup>
      </m:oMath>
      <w:r>
        <w:t>，再用DDIM更新算子推进到</w:t>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oMath>
      <w:r>
        <w:t>（其中</w:t>
      </w:r>
      <m:oMath>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&lt;</m:t>
        </m:r>
        <m:r>
          <m:rPr/>
          <w:rPr>
            <w:rFonts w:ascii="Cambria Math" w:hAnsi="Cambria Math"/>
          </w:rPr>
          <m:t>t</m:t>
        </m:r>
      </m:oMath>
      <w:r>
        <w:t>）</w:t>
      </w:r>
    </w:p>
    <w:p w14:paraId="6212F012">
      <w:pPr>
        <w:ind w:firstLine="420"/>
        <w:jc w:val="right"/>
        <w:rPr>
          <w:rFonts w:hint="eastAsia"/>
        </w:rPr>
      </w:pP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ctrlPr>
              <w:rPr>
                <w:rFonts w:ascii="Cambria Math" w:hAnsi="Cambria Math"/>
              </w:rPr>
            </m:ctrlPr>
          </m:e>
          <m:sub>
            <m:r>
              <m:rPr/>
              <w:rPr>
                <w:rFonts w:ascii="Cambria Math" w:hAnsi="Cambria Math"/>
              </w:rPr>
              <m:t>DDIM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m:sty m:val="p"/>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g</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oMath>
      <w:r>
        <w:rPr>
          <w:rFonts w:hint="eastAsia"/>
        </w:rPr>
        <w:t xml:space="preserve">      (4)</w:t>
      </w:r>
    </w:p>
    <w:p w14:paraId="0B90C393">
      <w:pPr>
        <w:ind w:firstLine="420"/>
      </w:pPr>
      <w:r>
        <w:t>随后在</w:t>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oMath>
      <w:r>
        <w:t>上用学生模型进行一次无梯度前向，并构造stop-gradient目标</w:t>
      </w:r>
    </w:p>
    <w:p w14:paraId="4BAB9A7F">
      <w:pPr>
        <w:ind w:firstLine="420"/>
        <w:jc w:val="right"/>
        <w:rPr>
          <w:rFonts w:hint="eastAsia"/>
        </w:rPr>
      </w:pPr>
      <m:oMath>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b w:val="0"/>
                <w:i w:val="0"/>
              </w:rPr>
              <m:t>target</m:t>
            </m:r>
            <m:ctrlPr>
              <w:rPr>
                <w:rFonts w:ascii="Cambria Math" w:hAnsi="Cambria Math"/>
              </w:rPr>
            </m:ctrlPr>
          </m:sub>
        </m:sSub>
        <m:r>
          <m:rPr>
            <m:sty m:val="p"/>
          </m:rPr>
          <w:rPr>
            <w:rFonts w:ascii="Cambria Math" w:hAnsi="Cambria Math"/>
          </w:rPr>
          <m:t>=sg⁡(</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t</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r>
          <m:rPr>
            <m:sty m:val="p"/>
          </m:rPr>
          <w:rPr>
            <w:rFonts w:ascii="Cambria Math" w:hAnsi="Cambria Math"/>
          </w:rPr>
          <m:t>,</m:t>
        </m:r>
        <m:r>
          <m:rPr/>
          <w:rPr>
            <w:rFonts w:ascii="Cambria Math" w:hAnsi="Cambria Math"/>
          </w:rPr>
          <m:t>c</m:t>
        </m:r>
        <m:r>
          <m:rPr>
            <m:sty m:val="p"/>
          </m:rPr>
          <w:rPr>
            <w:rFonts w:ascii="Cambria Math" w:hAnsi="Cambria Math"/>
          </w:rPr>
          <m:t>))</m:t>
        </m:r>
      </m:oMath>
      <w:r>
        <w:rPr>
          <w:rFonts w:hint="eastAsia"/>
        </w:rPr>
        <w:t xml:space="preserve">         (5)</w:t>
      </w:r>
    </w:p>
    <w:p w14:paraId="1152C78A">
      <w:pPr>
        <w:ind w:firstLine="420"/>
      </w:pPr>
      <w:r>
        <w:t>考虑到文本区域虽面积较小却决定编辑结果的可用性，我们引入区域加权一致性损失。设像素空间文本掩码为</w:t>
      </w:r>
      <m:oMath>
        <m:r>
          <m:rPr/>
          <w:rPr>
            <w:rFonts w:ascii="Cambria Math" w:hAnsi="Cambria Math"/>
          </w:rPr>
          <m:t>M</m:t>
        </m:r>
      </m:oMath>
      <w:r>
        <w:t>，其下采样到潜空间得到</w:t>
      </w:r>
      <m:oMath>
        <m:sSub>
          <m:sSubPr>
            <m:ctrlPr>
              <w:rPr>
                <w:rFonts w:ascii="Cambria Math" w:hAnsi="Cambria Math"/>
              </w:rPr>
            </m:ctrlPr>
          </m:sSubPr>
          <m:e>
            <m:r>
              <m:rPr/>
              <w:rPr>
                <w:rFonts w:ascii="Cambria Math" w:hAnsi="Cambria Math"/>
              </w:rPr>
              <m:t>M</m:t>
            </m:r>
            <m:ctrlPr>
              <w:rPr>
                <w:rFonts w:ascii="Cambria Math" w:hAnsi="Cambria Math"/>
              </w:rPr>
            </m:ctrlPr>
          </m:e>
          <m:sub>
            <m:r>
              <m:rPr>
                <m:nor/>
                <m:sty m:val="p"/>
              </m:rPr>
              <w:rPr>
                <w:b w:val="0"/>
                <w:i w:val="0"/>
              </w:rPr>
              <m:t>lat</m:t>
            </m:r>
            <m:ctrlPr>
              <w:rPr>
                <w:rFonts w:ascii="Cambria Math" w:hAnsi="Cambria Math"/>
              </w:rPr>
            </m:ctrlPr>
          </m:sub>
        </m:sSub>
      </m:oMath>
      <w:r>
        <w:t>，并定义权重图</w:t>
      </w:r>
    </w:p>
    <w:p w14:paraId="2FBDC4F6">
      <w:pPr>
        <w:ind w:firstLine="420"/>
        <w:jc w:val="right"/>
        <w:rPr>
          <w:rFonts w:hint="eastAsia"/>
        </w:rPr>
      </w:pPr>
      <m:oMath>
        <m:r>
          <m:rPr/>
          <w:rPr>
            <w:rFonts w:ascii="Cambria Math" w:hAnsi="Cambria Math"/>
          </w:rPr>
          <m:t>W</m:t>
        </m:r>
        <m:r>
          <m:rPr>
            <m:sty m:val="p"/>
          </m:rPr>
          <w:rPr>
            <w:rFonts w:ascii="Cambria Math" w:hAnsi="Cambria Math"/>
          </w:rPr>
          <m:t>=1+(</m:t>
        </m:r>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b w:val="0"/>
                <w:i w:val="0"/>
              </w:rPr>
              <m:t>text</m:t>
            </m:r>
            <m:ctrlPr>
              <w:rPr>
                <w:rFonts w:ascii="Cambria Math" w:hAnsi="Cambria Math"/>
              </w:rPr>
            </m:ctrlPr>
          </m:sub>
        </m:sSub>
        <m:r>
          <m:rPr>
            <m:sty m:val="p"/>
          </m:rPr>
          <w:rPr>
            <w:rFonts w:ascii="Cambria Math" w:hAnsi="Cambria Math"/>
          </w:rPr>
          <m:t>−1)</m:t>
        </m:r>
        <m:sSub>
          <m:sSubPr>
            <m:ctrlPr>
              <w:rPr>
                <w:rFonts w:ascii="Cambria Math" w:hAnsi="Cambria Math"/>
              </w:rPr>
            </m:ctrlPr>
          </m:sSubPr>
          <m:e>
            <m:r>
              <m:rPr/>
              <w:rPr>
                <w:rFonts w:ascii="Cambria Math" w:hAnsi="Cambria Math"/>
              </w:rPr>
              <m:t>M</m:t>
            </m:r>
            <m:ctrlPr>
              <w:rPr>
                <w:rFonts w:ascii="Cambria Math" w:hAnsi="Cambria Math"/>
              </w:rPr>
            </m:ctrlPr>
          </m:e>
          <m:sub>
            <m:r>
              <m:rPr>
                <m:nor/>
                <m:sty m:val="p"/>
              </m:rPr>
              <w:rPr>
                <w:b w:val="0"/>
                <w:i w:val="0"/>
              </w:rPr>
              <m:t>lat</m:t>
            </m:r>
            <m:ctrlPr>
              <w:rPr>
                <w:rFonts w:ascii="Cambria Math" w:hAnsi="Cambria Math"/>
              </w:rPr>
            </m:ctrlPr>
          </m:sub>
        </m:sSub>
      </m:oMath>
      <w:r>
        <w:rPr>
          <w:rFonts w:hint="eastAsia"/>
        </w:rPr>
        <w:t xml:space="preserve">         (6)</w:t>
      </w:r>
    </w:p>
    <w:p w14:paraId="1E39E451">
      <w:pPr>
        <w:ind w:firstLine="420"/>
      </w:pPr>
      <w:r>
        <w:t>最终损失为</w:t>
      </w:r>
    </w:p>
    <w:p w14:paraId="444DA7B8">
      <w:pPr>
        <w:ind w:firstLine="420"/>
        <w:jc w:val="right"/>
        <w:rPr>
          <w:rFonts w:hint="eastAsia"/>
        </w:rPr>
      </w:p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nor/>
                <m:sty m:val="p"/>
              </m:rPr>
              <w:rPr>
                <w:b w:val="0"/>
                <w:i w:val="0"/>
              </w:rPr>
              <m:t>LCM</m:t>
            </m:r>
            <m:ctrlPr>
              <w:rPr>
                <w:rFonts w:ascii="Cambria Math" w:hAnsi="Cambria Math"/>
              </w:rPr>
            </m:ctrlPr>
          </m:sub>
        </m:sSub>
        <m:r>
          <m:rPr>
            <m:sty m:val="p"/>
          </m:rPr>
          <w:rPr>
            <w:rFonts w:ascii="Cambria Math" w:hAnsi="Cambria Math"/>
          </w:rPr>
          <m:t>=</m:t>
        </m:r>
        <m:f>
          <m:fPr>
            <m:ctrlPr>
              <w:rPr>
                <w:rFonts w:ascii="Cambria Math" w:hAnsi="Cambria Math"/>
              </w:rPr>
            </m:ctrlPr>
          </m:fPr>
          <m:num>
            <m:nary>
              <m:naryPr>
                <m:chr m:val="∑"/>
                <m:grow m:val="1"/>
                <m:limLoc m:val="undOvr"/>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ρ</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c</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b w:val="0"/>
                    <w:i w:val="0"/>
                  </w:rPr>
                  <m:t>target</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num>
          <m:den>
            <m:nary>
              <m:naryPr>
                <m:chr m:val="∑"/>
                <m:grow m:val="1"/>
                <m:limLoc m:val="undOvr"/>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ε</m:t>
            </m:r>
            <m:ctrlPr>
              <w:rPr>
                <w:rFonts w:ascii="Cambria Math" w:hAnsi="Cambria Math"/>
              </w:rPr>
            </m:ctrlPr>
          </m:den>
        </m:f>
      </m:oMath>
      <w:r>
        <w:rPr>
          <w:rFonts w:hint="eastAsia"/>
        </w:rPr>
        <w:t xml:space="preserve">       (7)</w:t>
      </w:r>
    </w:p>
    <w:p w14:paraId="2E41E535">
      <w:pPr>
        <w:pStyle w:val="3"/>
        <w:numPr>
          <w:ilvl w:val="1"/>
          <w:numId w:val="0"/>
        </w:numPr>
        <w:tabs>
          <w:tab w:val="clear" w:pos="567"/>
        </w:tabs>
        <w:spacing w:before="156" w:after="156"/>
      </w:pPr>
      <w:r>
        <w:rPr>
          <w:rFonts w:hint="eastAsia"/>
        </w:rPr>
        <w:t>2.3</w:t>
      </w:r>
      <w:r>
        <w:t>注意力对齐蒸馏（Alignment）</w:t>
      </w:r>
    </w:p>
    <w:p w14:paraId="25AD693D">
      <w:pPr>
        <w:ind w:firstLine="420"/>
      </w:pPr>
      <w:r>
        <w:t>在场景文本编辑中，字符首先必须“放对位置”，语义和笔画结构的讨论才有意义。我们观察到，少步蒸馏后最早出现的退化往往不是字符完全消失，而是文本token与目标区域之间的条件对应关系开始松动，表现为字符中心偏移、相邻字符重叠，或局部出现幽灵式重复结构。这说明在极少步生成中，条件引导并未完全失效，但其空间定位能力明显减弱。</w:t>
      </w:r>
    </w:p>
    <w:p w14:paraId="08AB1418">
      <w:pPr>
        <w:ind w:firstLine="420"/>
      </w:pPr>
      <w:r>
        <w:t>Cross-Attention是条件扩散模型中连接“文本token”与“空间位置”的核心接口，因此本文从这一中间表征入手，对齐教师与学生在文本相关token上的空间响应分布。设某一Cross-Attention层的注意力权重为</w:t>
      </w:r>
    </w:p>
    <w:p w14:paraId="262E8269">
      <w:pPr>
        <w:ind w:firstLine="420"/>
        <w:jc w:val="right"/>
        <w:rPr>
          <w:rFonts w:hint="eastAsia"/>
        </w:rPr>
      </w:pPr>
      <m:oMath>
        <m:r>
          <m:rPr/>
          <w:rPr>
            <w:rFonts w:ascii="Cambria Math" w:hAnsi="Cambria Math"/>
          </w:rPr>
          <m:t>A</m:t>
        </m:r>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HW</m:t>
            </m:r>
            <m:r>
              <m:rPr>
                <m:sty m:val="p"/>
              </m:rPr>
              <w:rPr>
                <w:rFonts w:ascii="Cambria Math" w:hAnsi="Cambria Math"/>
              </w:rPr>
              <m:t>×</m:t>
            </m:r>
            <m:r>
              <m:rPr/>
              <w:rPr>
                <w:rFonts w:ascii="Cambria Math" w:hAnsi="Cambria Math"/>
              </w:rPr>
              <m:t>L</m:t>
            </m:r>
            <m:ctrlPr>
              <w:rPr>
                <w:rFonts w:ascii="Cambria Math" w:hAnsi="Cambria Math"/>
              </w:rPr>
            </m:ctrlPr>
          </m:sup>
        </m:sSup>
      </m:oMath>
      <w:r>
        <w:rPr>
          <w:rFonts w:hint="eastAsia"/>
        </w:rPr>
        <w:t xml:space="preserve">              (8)</w:t>
      </w:r>
    </w:p>
    <w:p w14:paraId="614DB7A1">
      <w:pPr>
        <w:ind w:firstLine="420"/>
      </w:pPr>
      <w:r>
        <w:t>其中</w:t>
      </w:r>
      <m:oMath>
        <m:r>
          <m:rPr/>
          <w:rPr>
            <w:rFonts w:ascii="Cambria Math" w:hAnsi="Cambria Math"/>
          </w:rPr>
          <m:t>HW</m:t>
        </m:r>
      </m:oMath>
      <w:r>
        <w:t>表示空间查询位置数，</w:t>
      </w:r>
      <m:oMath>
        <m:r>
          <m:rPr/>
          <w:rPr>
            <w:rFonts w:ascii="Cambria Math" w:hAnsi="Cambria Math"/>
          </w:rPr>
          <m:t>L</m:t>
        </m:r>
      </m:oMath>
      <w:r>
        <w:t xml:space="preserve">为条件token序列长度。我们构造二值token mask </w:t>
      </w:r>
      <m:oMath>
        <m:r>
          <m:rPr/>
          <w:rPr>
            <w:rFonts w:ascii="Cambria Math" w:hAnsi="Cambria Math"/>
          </w:rPr>
          <m:t>m</m:t>
        </m:r>
        <m:r>
          <m:rPr>
            <m:sty m:val="p"/>
          </m:rPr>
          <w:rPr>
            <w:rFonts w:ascii="Cambria Math" w:hAnsi="Cambria Math"/>
          </w:rPr>
          <m:t>∈{0,1</m:t>
        </m:r>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L</m:t>
            </m:r>
            <m:ctrlPr>
              <w:rPr>
                <w:rFonts w:ascii="Cambria Math" w:hAnsi="Cambria Math"/>
              </w:rPr>
            </m:ctrlPr>
          </m:sup>
        </m:sSup>
      </m:oMath>
      <w:r>
        <w:t>，用于选取与文本内容或字形控制直接相关的token，并在多头注意力上对这些token的响应进行聚合，得到每个空间位置上的attention mass：</w:t>
      </w:r>
    </w:p>
    <w:p w14:paraId="7D8A923F">
      <w:pPr>
        <w:ind w:firstLine="420"/>
        <w:jc w:val="right"/>
        <w:rPr>
          <w:rFonts w:hint="eastAsia"/>
        </w:rPr>
      </w:p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H</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h</m:t>
            </m:r>
            <m:r>
              <m:rPr>
                <m:sty m:val="p"/>
              </m:rPr>
              <w:rPr>
                <w:rFonts w:ascii="Cambria Math" w:hAnsi="Cambria Math"/>
              </w:rPr>
              <m:t>=1</m:t>
            </m:r>
            <m:ctrlPr>
              <w:rPr>
                <w:rFonts w:ascii="Cambria Math" w:hAnsi="Cambria Math"/>
              </w:rPr>
            </m:ctrlPr>
          </m:sub>
          <m:sup>
            <m:r>
              <m:rPr/>
              <w:rPr>
                <w:rFonts w:ascii="Cambria Math" w:hAnsi="Cambria Math"/>
              </w:rPr>
              <m:t>H</m:t>
            </m:r>
            <m:ctrlPr>
              <w:rPr>
                <w:rFonts w:ascii="Cambria Math" w:hAnsi="Cambria Math"/>
              </w:rPr>
            </m:ctrlPr>
          </m:sup>
          <m:e>
            <m:nary>
              <m:naryPr>
                <m:chr m:val="∑"/>
                <m:grow m:val="1"/>
                <m:limLoc m:val="undOvr"/>
                <m:ctrlPr>
                  <w:rPr>
                    <w:rFonts w:ascii="Cambria Math" w:hAnsi="Cambria Math"/>
                  </w:rPr>
                </m:ctrlPr>
              </m:naryPr>
              <m:sub>
                <m:r>
                  <m:rPr/>
                  <w:rPr>
                    <w:rFonts w:ascii="Cambria Math" w:hAnsi="Cambria Math"/>
                  </w:rPr>
                  <m:t>j</m:t>
                </m:r>
                <m:r>
                  <m:rPr>
                    <m:sty m:val="p"/>
                  </m:rPr>
                  <w:rPr>
                    <w:rFonts w:ascii="Cambria Math" w:hAnsi="Cambria Math"/>
                  </w:rPr>
                  <m:t>=1</m:t>
                </m:r>
                <m:ctrlPr>
                  <w:rPr>
                    <w:rFonts w:ascii="Cambria Math" w:hAnsi="Cambria Math"/>
                  </w:rPr>
                </m:ctrlPr>
              </m:sub>
              <m:sup>
                <m:r>
                  <m:rPr/>
                  <w:rPr>
                    <w:rFonts w:ascii="Cambria Math" w:hAnsi="Cambria Math"/>
                  </w:rPr>
                  <m:t>L</m:t>
                </m:r>
                <m:ctrlPr>
                  <w:rPr>
                    <w:rFonts w:ascii="Cambria Math" w:hAnsi="Cambria Math"/>
                  </w:rPr>
                </m:ctrlPr>
              </m:sup>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e>
        </m:nary>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p</m:t>
            </m:r>
            <m:r>
              <m:rPr>
                <m:sty m:val="p"/>
              </m:rPr>
              <w:rPr>
                <w:rFonts w:ascii="Cambria Math" w:hAnsi="Cambria Math"/>
              </w:rPr>
              <m:t>,</m:t>
            </m:r>
            <m:r>
              <m:rPr/>
              <w:rPr>
                <w:rFonts w:ascii="Cambria Math" w:hAnsi="Cambria Math"/>
              </w:rPr>
              <m:t>j</m:t>
            </m:r>
            <m:ctrlPr>
              <w:rPr>
                <w:rFonts w:ascii="Cambria Math" w:hAnsi="Cambria Math"/>
              </w:rPr>
            </m:ctrlPr>
          </m:sub>
          <m:sup>
            <m:d>
              <m:dPr>
                <m:ctrlPr>
                  <w:rPr>
                    <w:rFonts w:ascii="Cambria Math" w:hAnsi="Cambria Math"/>
                  </w:rPr>
                </m:ctrlPr>
              </m:dPr>
              <m:e>
                <m:r>
                  <m:rPr/>
                  <w:rPr>
                    <w:rFonts w:ascii="Cambria Math" w:hAnsi="Cambria Math"/>
                  </w:rPr>
                  <m:t>h</m:t>
                </m:r>
                <m:ctrlPr>
                  <w:rPr>
                    <w:rFonts w:ascii="Cambria Math" w:hAnsi="Cambria Math"/>
                  </w:rPr>
                </m:ctrlPr>
              </m:e>
            </m:d>
            <m:ctrlPr>
              <w:rPr>
                <w:rFonts w:ascii="Cambria Math" w:hAnsi="Cambria Math"/>
              </w:rPr>
            </m:ctrlPr>
          </m:sup>
        </m:sSubSup>
      </m:oMath>
      <w:r>
        <w:rPr>
          <w:rFonts w:hint="eastAsia"/>
        </w:rPr>
        <w:t xml:space="preserve">       (9)</w:t>
      </w:r>
    </w:p>
    <w:p w14:paraId="48197744">
      <w:pPr>
        <w:ind w:firstLine="420"/>
      </w:pPr>
      <w:r>
        <w:t>将</w:t>
      </w:r>
      <m:oMath>
        <m:r>
          <m:rPr/>
          <w:rPr>
            <w:rFonts w:ascii="Cambria Math" w:hAnsi="Cambria Math"/>
          </w:rPr>
          <m:t>S</m:t>
        </m:r>
      </m:oMath>
      <w:r>
        <w:rPr>
          <w:rFonts w:hint="eastAsia"/>
        </w:rPr>
        <w:t>转变</w:t>
      </w:r>
      <w:r>
        <w:t>为二维图即可得到文本相关的注意力质量图</w:t>
      </w:r>
      <m:oMath>
        <m:r>
          <m:rPr/>
          <w:rPr>
            <w:rFonts w:ascii="Cambria Math" w:hAnsi="Cambria Math"/>
          </w:rPr>
          <m:t>S</m:t>
        </m:r>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H</m:t>
            </m:r>
            <m:r>
              <m:rPr>
                <m:sty m:val="p"/>
              </m:rPr>
              <w:rPr>
                <w:rFonts w:ascii="Cambria Math" w:hAnsi="Cambria Math"/>
              </w:rPr>
              <m:t>×</m:t>
            </m:r>
            <m:r>
              <m:rPr/>
              <w:rPr>
                <w:rFonts w:ascii="Cambria Math" w:hAnsi="Cambria Math"/>
              </w:rPr>
              <m:t>W</m:t>
            </m:r>
            <m:ctrlPr>
              <w:rPr>
                <w:rFonts w:ascii="Cambria Math" w:hAnsi="Cambria Math"/>
              </w:rPr>
            </m:ctrlPr>
          </m:sup>
        </m:sSup>
      </m:oMath>
      <w:r>
        <w:t>。由于该约束的目标不是重建整幅注意力，而是稳定文本定位，因此我们仅在文本区域内对教师与学生的注意力分布进行匹配。记归一化后的教师与学生注意力图分别为</w:t>
      </w:r>
      <m:oMath>
        <m:sSup>
          <m:sSupPr>
            <m:ctrlPr>
              <w:rPr>
                <w:rFonts w:ascii="Cambria Math" w:hAnsi="Cambria Math"/>
              </w:rPr>
            </m:ctrlPr>
          </m:sSup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p>
            <m:r>
              <m:rPr/>
              <w:rPr>
                <w:rFonts w:ascii="Cambria Math" w:hAnsi="Cambria Math"/>
              </w:rPr>
              <m:t>T</m:t>
            </m:r>
            <m:ctrlPr>
              <w:rPr>
                <w:rFonts w:ascii="Cambria Math" w:hAnsi="Cambria Math"/>
              </w:rPr>
            </m:ctrlPr>
          </m:sup>
        </m:sSup>
      </m:oMath>
      <w:r>
        <w:t>与</w:t>
      </w:r>
      <m:oMath>
        <m:sSup>
          <m:sSupPr>
            <m:ctrlPr>
              <w:rPr>
                <w:rFonts w:ascii="Cambria Math" w:hAnsi="Cambria Math"/>
              </w:rPr>
            </m:ctrlPr>
          </m:sSup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p>
            <m:r>
              <m:rPr/>
              <w:rPr>
                <w:rFonts w:ascii="Cambria Math" w:hAnsi="Cambria Math"/>
              </w:rPr>
              <m:t>S</m:t>
            </m:r>
            <m:ctrlPr>
              <w:rPr>
                <w:rFonts w:ascii="Cambria Math" w:hAnsi="Cambria Math"/>
              </w:rPr>
            </m:ctrlPr>
          </m:sup>
        </m:sSup>
      </m:oMath>
      <w:r>
        <w:t>，则注意力对齐损失写为</w:t>
      </w:r>
    </w:p>
    <w:p w14:paraId="140159A0">
      <w:pPr>
        <w:ind w:firstLine="420"/>
        <w:jc w:val="right"/>
        <w:rPr>
          <w:rFonts w:hint="eastAsia"/>
        </w:rPr>
      </w:p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nor/>
                <m:sty m:val="p"/>
              </m:rPr>
              <w:rPr>
                <w:b w:val="0"/>
                <w:i w:val="0"/>
              </w:rPr>
              <m:t>attn</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scr m:val="script"/>
              </m:rPr>
              <w:rPr>
                <w:rFonts w:ascii="Cambria Math" w:hAnsi="Cambria Math"/>
              </w:rPr>
              <m:t>∣ℒ∣</m:t>
            </m:r>
            <m:ctrlPr>
              <w:rPr>
                <w:rFonts w:ascii="Cambria Math" w:hAnsi="Cambria Math"/>
              </w:rPr>
            </m:ctrlPr>
          </m:den>
        </m:f>
        <m:nary>
          <m:naryPr>
            <m:chr m:val="∑"/>
            <m:grow m:val="1"/>
            <m:limLoc m:val="undOvr"/>
            <m:supHide m:val="1"/>
            <m:ctrlPr>
              <w:rPr>
                <w:rFonts w:ascii="Cambria Math" w:hAnsi="Cambria Math"/>
              </w:rPr>
            </m:ctrlPr>
          </m:naryPr>
          <m:sub>
            <m:r>
              <m:rPr/>
              <w:rPr>
                <w:rFonts w:ascii="Cambria Math" w:hAnsi="Cambria Math"/>
              </w:rPr>
              <m:t>l</m:t>
            </m:r>
            <m:r>
              <m:rPr>
                <m:sty m:val="p"/>
                <m:scr m:val="script"/>
              </m:rPr>
              <w:rPr>
                <w:rFonts w:ascii="Cambria Math" w:hAnsi="Cambria Math"/>
              </w:rPr>
              <m:t>∈ℒ</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KL</m:t>
                </m:r>
                <m:ctrlPr>
                  <w:rPr>
                    <w:rFonts w:ascii="Cambria Math" w:hAnsi="Cambria Math"/>
                  </w:rPr>
                </m:ctrlPr>
              </m:sub>
            </m:sSub>
            <m:ctrlPr>
              <w:rPr>
                <w:rFonts w:ascii="Cambria Math" w:hAnsi="Cambria Math"/>
              </w:rPr>
            </m:ctrlPr>
          </m:e>
        </m:nary>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T</m:t>
            </m:r>
            <m:ctrlPr>
              <w:rPr>
                <w:rFonts w:ascii="Cambria Math" w:hAnsi="Cambria Math"/>
              </w:rPr>
            </m:ctrlPr>
          </m:sup>
        </m:sSubSup>
        <m:r>
          <m:rPr>
            <m:nor/>
            <m:sty m:val="p"/>
          </m:rPr>
          <w:rPr>
            <w:b w:val="0"/>
            <w:i w:val="0"/>
          </w:rPr>
          <m:t> </m:t>
        </m:r>
        <m:r>
          <m:rPr>
            <m:sty m:val="p"/>
          </m:rPr>
          <w:rPr>
            <w:rFonts w:ascii="Cambria Math" w:hAnsi="Cambria Math"/>
          </w:rPr>
          <m:t>∥</m:t>
        </m:r>
        <m:r>
          <m:rPr>
            <m:nor/>
            <m:sty m:val="p"/>
          </m:rPr>
          <w:rPr>
            <w:b w:val="0"/>
            <w:i w:val="0"/>
          </w:rPr>
          <m:t> </m:t>
        </m:r>
        <m:sSubSup>
          <m:sSubSupPr>
            <m:ctrlPr>
              <w:rPr>
                <w:rFonts w:ascii="Cambria Math" w:hAnsi="Cambria Math"/>
              </w:rPr>
            </m:ctrlPr>
          </m:sSubSupPr>
          <m:e>
            <m:acc>
              <m:accPr>
                <m:chr m:val="̃"/>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S</m:t>
            </m:r>
            <m:ctrlPr>
              <w:rPr>
                <w:rFonts w:ascii="Cambria Math" w:hAnsi="Cambria Math"/>
              </w:rPr>
            </m:ctrlPr>
          </m:sup>
        </m:sSubSup>
        <m:r>
          <m:rPr>
            <m:sty m:val="p"/>
          </m:rPr>
          <w:rPr>
            <w:rFonts w:ascii="Cambria Math" w:hAnsi="Cambria Math"/>
          </w:rPr>
          <m:t>)</m:t>
        </m:r>
      </m:oMath>
      <w:r>
        <w:rPr>
          <w:rFonts w:hint="eastAsia"/>
        </w:rPr>
        <w:t xml:space="preserve">      (10)</w:t>
      </w:r>
    </w:p>
    <w:p w14:paraId="12D81483">
      <w:pPr>
        <w:ind w:firstLine="420"/>
      </w:pPr>
      <w:r>
        <w:t>其中</w:t>
      </w:r>
      <m:oMath>
        <m:r>
          <m:rPr>
            <m:sty m:val="p"/>
            <m:scr m:val="script"/>
          </m:rPr>
          <w:rPr>
            <w:rFonts w:ascii="Cambria Math" w:hAnsi="Cambria Math"/>
          </w:rPr>
          <m:t>ℒ</m:t>
        </m:r>
      </m:oMath>
      <w:r>
        <w:t>表示参与蒸馏的Cross-Attention层集合。</w:t>
      </w:r>
    </w:p>
    <w:p w14:paraId="22CB9E55">
      <w:pPr>
        <w:ind w:firstLine="420"/>
        <w:rPr>
          <w:rFonts w:hint="eastAsia"/>
        </w:rPr>
      </w:pPr>
      <w:r>
        <w:t>这一约束的核心意义在于：它并不直接要求学生复制教师的像素输出，而是要求学生在“文本应该出现在何处”这一问题上继承教师更稳定的空间条件响应。换言之，</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nor/>
                <m:sty m:val="p"/>
              </m:rPr>
              <w:rPr>
                <w:b w:val="0"/>
                <w:i w:val="0"/>
              </w:rPr>
              <m:t>attn</m:t>
            </m:r>
            <m:ctrlPr>
              <w:rPr>
                <w:rFonts w:ascii="Cambria Math" w:hAnsi="Cambria Math"/>
              </w:rPr>
            </m:ctrlPr>
          </m:sub>
        </m:sSub>
      </m:oMath>
      <w:r>
        <w:t>提供的是一种中间层级的定位先验蒸馏。这使得少步学生模型即便在采样步数大幅减少时，仍能保持较稳定的字符排布与区域对应关系。</w:t>
      </w:r>
    </w:p>
    <w:p w14:paraId="12D3EBBC">
      <w:pPr>
        <w:pStyle w:val="3"/>
        <w:numPr>
          <w:ilvl w:val="1"/>
          <w:numId w:val="0"/>
        </w:numPr>
        <w:tabs>
          <w:tab w:val="clear" w:pos="567"/>
        </w:tabs>
        <w:spacing w:before="156" w:after="156"/>
      </w:pPr>
      <w:r>
        <w:rPr>
          <w:rFonts w:hint="eastAsia"/>
        </w:rPr>
        <w:t xml:space="preserve">2.4 </w:t>
      </w:r>
      <w:r>
        <w:t>OCR</w:t>
      </w:r>
      <w:r>
        <w:rPr>
          <w:rFonts w:cs="Cambria Math"/>
        </w:rPr>
        <w:t>‑</w:t>
      </w:r>
      <w:r>
        <w:t>CTC 语义监督（Semantics）</w:t>
      </w:r>
    </w:p>
    <w:p w14:paraId="24BCEE64">
      <w:pPr>
        <w:ind w:firstLine="420"/>
      </w:pPr>
      <w:r>
        <w:t>即使字符位置正确，少步生成仍可能产生另一类更隐蔽的失败：生成结果在视觉上像“某种字形纹理”，但在字符级别并不对应目标字符串。对于场景文本编辑而言，这类“形似而不可读”的伪字符比一般的模糊更具破坏性，因为它们常常具有较高的局部逼真度，却直接导致OCR失败和语义错误。单纯依赖像素或潜空间的一致性蒸馏，很难显式约束这种字符级语义正确性。</w:t>
      </w:r>
    </w:p>
    <w:p w14:paraId="7F123242">
      <w:pPr>
        <w:ind w:firstLine="420"/>
      </w:pPr>
      <w:r>
        <w:t>为此，本文引入冻结的文本识别器</w:t>
      </w:r>
      <m:oMath>
        <m:r>
          <m:rPr>
            <m:sty m:val="p"/>
            <m:scr m:val="script"/>
          </m:rPr>
          <w:rPr>
            <w:rFonts w:ascii="Cambria Math" w:hAnsi="Cambria Math"/>
          </w:rPr>
          <m:t>ℛ</m:t>
        </m:r>
      </m:oMath>
      <w:r>
        <w:t>，对学生模型生成结果施加序列级监督。具体而言，学生模型在</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上预测得到无噪潜变量</w:t>
      </w:r>
      <m:oMath>
        <m:sSubSup>
          <m:sSubSupPr>
            <m:ctrlPr>
              <w:rPr>
                <w:rFonts w:ascii="Cambria Math" w:hAnsi="Cambria Math"/>
              </w:rPr>
            </m:ctrlPr>
          </m:sSubSup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m:sty m:val="p"/>
              </m:rPr>
              <w:rPr>
                <w:rFonts w:ascii="Cambria Math" w:hAnsi="Cambria Math"/>
              </w:rPr>
              <m:t>0</m:t>
            </m:r>
            <m:ctrlPr>
              <w:rPr>
                <w:rFonts w:ascii="Cambria Math" w:hAnsi="Cambria Math"/>
              </w:rPr>
            </m:ctrlPr>
          </m:sub>
          <m:sup>
            <m:r>
              <m:rPr/>
              <w:rPr>
                <w:rFonts w:ascii="Cambria Math" w:hAnsi="Cambria Math"/>
              </w:rPr>
              <m:t>θ</m:t>
            </m:r>
            <m:ctrlPr>
              <w:rPr>
                <w:rFonts w:ascii="Cambria Math" w:hAnsi="Cambria Math"/>
              </w:rPr>
            </m:ctrlPr>
          </m:sup>
        </m:sSubSup>
      </m:oMath>
      <w:r>
        <w:t>后，通过VAE解码器</w:t>
      </w:r>
      <m:oMath>
        <m:r>
          <m:rPr>
            <m:sty m:val="p"/>
            <m:scr m:val="script"/>
          </m:rPr>
          <w:rPr>
            <w:rFonts w:ascii="Cambria Math" w:hAnsi="Cambria Math"/>
          </w:rPr>
          <m:t>D</m:t>
        </m:r>
      </m:oMath>
      <w:r>
        <w:t>恢复到像素空间，得到生成图像</w:t>
      </w:r>
    </w:p>
    <w:p w14:paraId="781EFE41">
      <w:pPr>
        <w:ind w:firstLine="420"/>
        <w:jc w:val="right"/>
        <w:rPr>
          <w:rFonts w:hint="eastAsia"/>
        </w:rPr>
      </w:pPr>
      <m:oMath>
        <m:acc>
          <m:accPr>
            <m:ctrlPr>
              <w:rPr>
                <w:rFonts w:ascii="Cambria Math" w:hAnsi="Cambria Math"/>
              </w:rPr>
            </m:ctrlPr>
          </m:accPr>
          <m:e>
            <m:r>
              <m:rPr/>
              <w:rPr>
                <w:rFonts w:ascii="Cambria Math" w:hAnsi="Cambria Math"/>
              </w:rPr>
              <m:t>I</m:t>
            </m:r>
            <m:ctrlPr>
              <w:rPr>
                <w:rFonts w:ascii="Cambria Math" w:hAnsi="Cambria Math"/>
              </w:rPr>
            </m:ctrlPr>
          </m:e>
        </m:acc>
        <m:r>
          <m:rPr>
            <m:sty m:val="p"/>
            <m:scr m:val="script"/>
          </m:rPr>
          <w:rPr>
            <w:rFonts w:ascii="Cambria Math" w:hAnsi="Cambria Math"/>
          </w:rPr>
          <m:t>=D(</m:t>
        </m:r>
        <m:sSubSup>
          <m:sSubSupPr>
            <m:ctrlPr>
              <w:rPr>
                <w:rFonts w:ascii="Cambria Math" w:hAnsi="Cambria Math"/>
              </w:rPr>
            </m:ctrlPr>
          </m:sSubSup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m:sty m:val="p"/>
              </m:rPr>
              <w:rPr>
                <w:rFonts w:ascii="Cambria Math" w:hAnsi="Cambria Math"/>
              </w:rPr>
              <m:t>0</m:t>
            </m:r>
            <m:ctrlPr>
              <w:rPr>
                <w:rFonts w:ascii="Cambria Math" w:hAnsi="Cambria Math"/>
              </w:rPr>
            </m:ctrlPr>
          </m:sub>
          <m:sup>
            <m:r>
              <m:rPr/>
              <w:rPr>
                <w:rFonts w:ascii="Cambria Math" w:hAnsi="Cambria Math"/>
              </w:rPr>
              <m:t>θ</m:t>
            </m:r>
            <m:ctrlPr>
              <w:rPr>
                <w:rFonts w:ascii="Cambria Math" w:hAnsi="Cambria Math"/>
              </w:rPr>
            </m:ctrlPr>
          </m:sup>
        </m:sSubSup>
        <m:r>
          <m:rPr>
            <m:sty m:val="p"/>
          </m:rPr>
          <w:rPr>
            <w:rFonts w:ascii="Cambria Math" w:hAnsi="Cambria Math"/>
          </w:rPr>
          <m:t>)</m:t>
        </m:r>
      </m:oMath>
      <w:r>
        <w:rPr>
          <w:rFonts w:hint="eastAsia"/>
        </w:rPr>
        <w:t xml:space="preserve">             (11)</w:t>
      </w:r>
    </w:p>
    <w:p w14:paraId="580CF7FA">
      <w:pPr>
        <w:ind w:firstLine="420"/>
      </w:pPr>
      <w:r>
        <w:t>对于每个文本实例，依据位置标注提取对应文本区域并缩放至固定识别分辨率，随后输入冻结识别器，得到对应的序列预测得分。</w:t>
      </w:r>
    </w:p>
    <w:p w14:paraId="04920F1C">
      <w:pPr>
        <w:ind w:firstLine="420"/>
        <w:jc w:val="right"/>
        <w:rPr>
          <w:rFonts w:hint="eastAsia"/>
        </w:rPr>
      </w:pPr>
      <m:oMath>
        <m:r>
          <m:rPr/>
          <w:rPr>
            <w:rFonts w:ascii="Cambria Math" w:hAnsi="Cambria Math"/>
          </w:rPr>
          <m:t>P</m:t>
        </m:r>
        <m:r>
          <m:rPr>
            <m:sty m:val="p"/>
            <m:scr m:val="script"/>
          </m:rPr>
          <w:rPr>
            <w:rFonts w:ascii="Cambria Math" w:hAnsi="Cambria Math"/>
          </w:rPr>
          <m:t>=ℛ(</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crop</m:t>
            </m:r>
            <m:ctrlPr>
              <w:rPr>
                <w:rFonts w:ascii="Cambria Math" w:hAnsi="Cambria Math"/>
              </w:rPr>
            </m:ctrlPr>
          </m:sub>
        </m:sSub>
        <m:r>
          <m:rPr>
            <m:sty m:val="p"/>
          </m:rPr>
          <w:rPr>
            <w:rFonts w:ascii="Cambria Math" w:hAnsi="Cambria Math"/>
          </w:rPr>
          <m:t>)</m:t>
        </m:r>
      </m:oMath>
      <w:r>
        <w:rPr>
          <w:rFonts w:hint="eastAsia"/>
        </w:rPr>
        <w:t xml:space="preserve">            (12)</w:t>
      </w:r>
    </w:p>
    <w:p w14:paraId="725A5E1D">
      <w:pPr>
        <w:ind w:firstLine="420"/>
      </w:pPr>
      <w:r>
        <w:t>给定目标字符串</w:t>
      </w:r>
      <m:oMath>
        <m:r>
          <m:rPr/>
          <w:rPr>
            <w:rFonts w:ascii="Cambria Math" w:hAnsi="Cambria Math"/>
          </w:rPr>
          <m:t>y</m:t>
        </m:r>
      </m:oMath>
      <w:r>
        <w:t>，OCR-CTC语义损失定义为</w:t>
      </w:r>
    </w:p>
    <w:p w14:paraId="0FD9808A">
      <w:pPr>
        <w:ind w:firstLine="420"/>
        <w:jc w:val="right"/>
        <w:rPr>
          <w:rFonts w:hint="eastAsia"/>
        </w:rPr>
      </w:p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nor/>
                <m:sty m:val="p"/>
              </m:rPr>
              <w:rPr>
                <w:b w:val="0"/>
                <w:i w:val="0"/>
              </w:rPr>
              <m:t>ocr</m:t>
            </m:r>
            <m:ctrlPr>
              <w:rPr>
                <w:rFonts w:ascii="Cambria Math" w:hAnsi="Cambria Math"/>
              </w:rPr>
            </m:ctrlPr>
          </m:sub>
        </m:sSub>
        <m:r>
          <m:rPr>
            <m:sty m:val="p"/>
          </m:rPr>
          <w:rPr>
            <w:rFonts w:ascii="Cambria Math" w:hAnsi="Cambria Math"/>
          </w:rPr>
          <m:t>=CTC⁡(</m:t>
        </m:r>
        <m:r>
          <m:rPr/>
          <w:rPr>
            <w:rFonts w:ascii="Cambria Math" w:hAnsi="Cambria Math"/>
          </w:rPr>
          <m:t>P</m:t>
        </m:r>
        <m:r>
          <m:rPr>
            <m:sty m:val="p"/>
          </m:rPr>
          <w:rPr>
            <w:rFonts w:ascii="Cambria Math" w:hAnsi="Cambria Math"/>
          </w:rPr>
          <m:t>,</m:t>
        </m:r>
        <m:r>
          <m:rPr/>
          <w:rPr>
            <w:rFonts w:ascii="Cambria Math" w:hAnsi="Cambria Math"/>
          </w:rPr>
          <m:t>y</m:t>
        </m:r>
        <m:r>
          <m:rPr>
            <m:sty m:val="p"/>
          </m:rPr>
          <w:rPr>
            <w:rFonts w:ascii="Cambria Math" w:hAnsi="Cambria Math"/>
          </w:rPr>
          <m:t>)</m:t>
        </m:r>
      </m:oMath>
      <w:r>
        <w:rPr>
          <w:rFonts w:hint="eastAsia"/>
        </w:rPr>
        <w:t xml:space="preserve">          (13)</w:t>
      </w:r>
    </w:p>
    <w:p w14:paraId="19F2D389">
      <w:pPr>
        <w:ind w:firstLine="420"/>
        <w:rPr>
          <w:rFonts w:hint="eastAsia"/>
        </w:rPr>
      </w:pPr>
      <w:r>
        <w:t>与常规的重建损失不同，</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nor/>
                <m:sty m:val="p"/>
              </m:rPr>
              <w:rPr>
                <w:b w:val="0"/>
                <w:i w:val="0"/>
              </w:rPr>
              <m:t>ocr</m:t>
            </m:r>
            <m:ctrlPr>
              <w:rPr>
                <w:rFonts w:ascii="Cambria Math" w:hAnsi="Cambria Math"/>
              </w:rPr>
            </m:ctrlPr>
          </m:sub>
        </m:sSub>
      </m:oMath>
      <w:r>
        <w:t>直接从字符序列层面对生成结果施加监督。它要求学生模型不仅生成“看起来像文字”的局部纹理，更要生成能够被识别器稳定解码为目标字符串的图像证据。这样一来，模型被迫在少步推理下保留更多与字符身份相关的判别性结构，从而显著抑制伪字符与语义错字。</w:t>
      </w:r>
    </w:p>
    <w:p w14:paraId="13AA0158">
      <w:pPr>
        <w:pStyle w:val="3"/>
        <w:numPr>
          <w:ilvl w:val="1"/>
          <w:numId w:val="0"/>
        </w:numPr>
        <w:tabs>
          <w:tab w:val="clear" w:pos="567"/>
        </w:tabs>
        <w:spacing w:before="156" w:after="156"/>
      </w:pPr>
      <w:r>
        <w:rPr>
          <w:rFonts w:hint="eastAsia"/>
        </w:rPr>
        <w:t>2.5</w:t>
      </w:r>
      <w:r>
        <w:t>拓扑一致性（Topology）</w:t>
      </w:r>
    </w:p>
    <w:p w14:paraId="1F553FD5">
      <w:pPr>
        <w:ind w:firstLine="420"/>
      </w:pPr>
      <w:r>
        <w:t>在文本生成中，“能被识别”为目标字符并不自动意味着“笔画结构正确”。特别是在中文复杂字形或细笔画英文字符中，少步生成常会保留大体轮廓，却在局部结构上出现断笔、粘连、孔洞闭合等问题。这类错误有两个特点：一是它们对视觉感知不一定最显著，二是它们对OCR结果却可能是致命的。换言之，仅靠语义监督仍不足以显式约束笔画级连通性。</w:t>
      </w:r>
    </w:p>
    <w:p w14:paraId="247E98B6">
      <w:pPr>
        <w:ind w:firstLine="420"/>
      </w:pPr>
      <w:r>
        <w:t>文本笔画在几何形态上与道路、血管等细长结构目标具有相似性，因此本文引入soft skeletonization与clDice作为拓扑一致性监督。由于公开场景文本编辑数据通常不提供逐像素笔画级真值，我们不直接监督精确的stroke mask，而是利用“原图—masked图—生成图”之间的差分信号构造近似笔画响应图。设原始真值图像为</w:t>
      </w:r>
      <m:oMath>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gt</m:t>
            </m:r>
            <m:ctrlPr>
              <w:rPr>
                <w:rFonts w:ascii="Cambria Math" w:hAnsi="Cambria Math"/>
              </w:rPr>
            </m:ctrlPr>
          </m:sub>
        </m:sSub>
      </m:oMath>
      <w:r>
        <w:t>，去除文本后的masked图像为</w:t>
      </w:r>
      <m:oMath>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mask</m:t>
            </m:r>
            <m:ctrlPr>
              <w:rPr>
                <w:rFonts w:ascii="Cambria Math" w:hAnsi="Cambria Math"/>
              </w:rPr>
            </m:ctrlPr>
          </m:sub>
        </m:sSub>
      </m:oMath>
      <w:r>
        <w:t>，学生生成图像为</w:t>
      </w:r>
      <m:oMath>
        <m:acc>
          <m:accPr>
            <m:ctrlPr>
              <w:rPr>
                <w:rFonts w:ascii="Cambria Math" w:hAnsi="Cambria Math"/>
              </w:rPr>
            </m:ctrlPr>
          </m:accPr>
          <m:e>
            <m:r>
              <m:rPr/>
              <w:rPr>
                <w:rFonts w:ascii="Cambria Math" w:hAnsi="Cambria Math"/>
              </w:rPr>
              <m:t>I</m:t>
            </m:r>
            <m:ctrlPr>
              <w:rPr>
                <w:rFonts w:ascii="Cambria Math" w:hAnsi="Cambria Math"/>
              </w:rPr>
            </m:ctrlPr>
          </m:e>
        </m:acc>
      </m:oMath>
      <w:r>
        <w:t>。定义灰度差分强度为</w:t>
      </w:r>
    </w:p>
    <w:p w14:paraId="27B538CA">
      <w:pPr>
        <w:ind w:firstLine="420"/>
        <w:jc w:val="right"/>
        <w:rPr>
          <w:rFonts w:hint="eastAsia"/>
        </w:rPr>
      </w:p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3</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c</m:t>
            </m:r>
            <m:r>
              <m:rPr>
                <m:sty m:val="p"/>
              </m:rPr>
              <w:rPr>
                <w:rFonts w:ascii="Cambria Math" w:hAnsi="Cambria Math"/>
              </w:rPr>
              <m:t>=1</m:t>
            </m:r>
            <m:ctrlPr>
              <w:rPr>
                <w:rFonts w:ascii="Cambria Math" w:hAnsi="Cambria Math"/>
              </w:rPr>
            </m:ctrlPr>
          </m:sub>
          <m:sup>
            <m:r>
              <m:rPr>
                <m:sty m:val="p"/>
              </m:rPr>
              <w:rPr>
                <w:rFonts w:ascii="Cambria Math" w:hAnsi="Cambria Math"/>
              </w:rPr>
              <m:t>3</m:t>
            </m:r>
            <m:ctrlPr>
              <w:rPr>
                <w:rFonts w:ascii="Cambria Math" w:hAnsi="Cambria Math"/>
              </w:rPr>
            </m:ctrlPr>
          </m:sup>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I</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mask</m:t>
                </m:r>
                <m:r>
                  <m:rPr>
                    <m:sty m:val="p"/>
                  </m:rPr>
                  <w:rPr>
                    <w:rFonts w:ascii="Cambria Math" w:hAnsi="Cambria Math"/>
                  </w:rPr>
                  <m:t>,</m:t>
                </m:r>
                <m:r>
                  <m:rPr/>
                  <w:rPr>
                    <w:rFonts w:ascii="Cambria Math" w:hAnsi="Cambria Math"/>
                  </w:rPr>
                  <m:t>c</m:t>
                </m:r>
                <m:ctrlPr>
                  <w:rPr>
                    <w:rFonts w:ascii="Cambria Math" w:hAnsi="Cambria Math"/>
                  </w:rPr>
                </m:ctrlPr>
              </m:sub>
            </m:sSub>
            <m:r>
              <m:rPr>
                <m:sty m:val="p"/>
              </m:rPr>
              <w:rPr>
                <w:rFonts w:ascii="Cambria Math" w:hAnsi="Cambria Math"/>
              </w:rPr>
              <m:t>∣</m:t>
            </m:r>
            <m:ctrlPr>
              <w:rPr>
                <w:rFonts w:ascii="Cambria Math" w:hAnsi="Cambria Math"/>
              </w:rPr>
            </m:ctrlPr>
          </m:e>
        </m:nary>
      </m:oMath>
      <w:r>
        <w:rPr>
          <w:rFonts w:hint="eastAsia"/>
        </w:rPr>
        <w:t xml:space="preserve">        (14)</w:t>
      </w:r>
    </w:p>
    <w:p w14:paraId="525D5B84">
      <w:pPr>
        <w:ind w:firstLine="420"/>
        <w:jc w:val="right"/>
        <w:rPr>
          <w:rFonts w:hint="eastAsia"/>
        </w:rPr>
      </w:p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3</m:t>
            </m:r>
            <m:ctrlPr>
              <w:rPr>
                <w:rFonts w:ascii="Cambria Math" w:hAnsi="Cambria Math"/>
              </w:rPr>
            </m:ctrlPr>
          </m:den>
        </m:f>
        <m:nary>
          <m:naryPr>
            <m:chr m:val="∑"/>
            <m:grow m:val="1"/>
            <m:limLoc m:val="undOvr"/>
            <m:ctrlPr>
              <w:rPr>
                <w:rFonts w:ascii="Cambria Math" w:hAnsi="Cambria Math"/>
              </w:rPr>
            </m:ctrlPr>
          </m:naryPr>
          <m:sub>
            <m:r>
              <m:rPr/>
              <w:rPr>
                <w:rFonts w:ascii="Cambria Math" w:hAnsi="Cambria Math"/>
              </w:rPr>
              <m:t>c</m:t>
            </m:r>
            <m:r>
              <m:rPr>
                <m:sty m:val="p"/>
              </m:rPr>
              <w:rPr>
                <w:rFonts w:ascii="Cambria Math" w:hAnsi="Cambria Math"/>
              </w:rPr>
              <m:t>=1</m:t>
            </m:r>
            <m:ctrlPr>
              <w:rPr>
                <w:rFonts w:ascii="Cambria Math" w:hAnsi="Cambria Math"/>
              </w:rPr>
            </m:ctrlPr>
          </m:sub>
          <m:sup>
            <m:r>
              <m:rPr>
                <m:sty m:val="p"/>
              </m:rPr>
              <w:rPr>
                <w:rFonts w:ascii="Cambria Math" w:hAnsi="Cambria Math"/>
              </w:rPr>
              <m:t>3</m:t>
            </m:r>
            <m:ctrlPr>
              <w:rPr>
                <w:rFonts w:ascii="Cambria Math" w:hAnsi="Cambria Math"/>
              </w:rPr>
            </m:ctrlPr>
          </m:sup>
          <m:e>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gt</m:t>
                </m:r>
                <m:r>
                  <m:rPr>
                    <m:sty m:val="p"/>
                  </m:rPr>
                  <w:rPr>
                    <w:rFonts w:ascii="Cambria Math" w:hAnsi="Cambria Math"/>
                  </w:rPr>
                  <m:t>,</m:t>
                </m:r>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mask</m:t>
                </m:r>
                <m:r>
                  <m:rPr>
                    <m:sty m:val="p"/>
                  </m:rPr>
                  <w:rPr>
                    <w:rFonts w:ascii="Cambria Math" w:hAnsi="Cambria Math"/>
                  </w:rPr>
                  <m:t>,</m:t>
                </m:r>
                <m:r>
                  <m:rPr/>
                  <w:rPr>
                    <w:rFonts w:ascii="Cambria Math" w:hAnsi="Cambria Math"/>
                  </w:rPr>
                  <m:t>c</m:t>
                </m:r>
                <m:ctrlPr>
                  <w:rPr>
                    <w:rFonts w:ascii="Cambria Math" w:hAnsi="Cambria Math"/>
                  </w:rPr>
                </m:ctrlPr>
              </m:sub>
            </m:sSub>
            <m:r>
              <m:rPr>
                <m:sty m:val="p"/>
              </m:rPr>
              <w:rPr>
                <w:rFonts w:ascii="Cambria Math" w:hAnsi="Cambria Math"/>
              </w:rPr>
              <m:t>∣</m:t>
            </m:r>
            <m:ctrlPr>
              <w:rPr>
                <w:rFonts w:ascii="Cambria Math" w:hAnsi="Cambria Math"/>
              </w:rPr>
            </m:ctrlPr>
          </m:e>
        </m:nary>
      </m:oMath>
      <w:r>
        <w:rPr>
          <w:rFonts w:hint="eastAsia"/>
        </w:rPr>
        <w:t xml:space="preserve">       (15)</w:t>
      </w:r>
    </w:p>
    <w:p w14:paraId="6E505979">
      <w:pPr>
        <w:ind w:firstLine="420"/>
      </w:pPr>
      <w:r>
        <w:t>直观上，</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G</m:t>
            </m:r>
            <m:ctrlPr>
              <w:rPr>
                <w:rFonts w:ascii="Cambria Math" w:hAnsi="Cambria Math"/>
              </w:rPr>
            </m:ctrlPr>
          </m:sub>
        </m:sSub>
      </m:oMath>
      <w:r>
        <w:t>描述了真实文本相对于背景的笔画激活区域，而</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rPr>
            </m:ctrlPr>
          </m:sub>
        </m:sSub>
      </m:oMath>
      <w:r>
        <w:t>则描述了生成文本对应的激活区域。为了将其转化为连续可导的概率图，我们采用带阈值的Sigmoid变换：</w:t>
      </w:r>
    </w:p>
    <w:p w14:paraId="1B856AB9">
      <w:pPr>
        <w:ind w:firstLine="420"/>
        <w:jc w:val="right"/>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σ</m:t>
        </m:r>
        <m:r>
          <m:rPr>
            <m:sty m:val="p"/>
          </m:rPr>
          <w:rPr>
            <w:rFonts w:ascii="Cambria Math" w:hAnsi="Cambria Math"/>
          </w:rPr>
          <m:t>(</m:t>
        </m:r>
        <m:r>
          <m:rPr/>
          <w:rPr>
            <w:rFonts w:ascii="Cambria Math" w:hAnsi="Cambria Math"/>
          </w:rPr>
          <m:t>k</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σ</m:t>
        </m:r>
        <m:r>
          <m:rPr>
            <m:sty m:val="p"/>
          </m:rPr>
          <w:rPr>
            <w:rFonts w:ascii="Cambria Math" w:hAnsi="Cambria Math"/>
          </w:rPr>
          <m:t>(</m:t>
        </m:r>
        <m:r>
          <m:rPr/>
          <w:rPr>
            <w:rFonts w:ascii="Cambria Math" w:hAnsi="Cambria Math"/>
          </w:rPr>
          <m:t>k</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τ</m:t>
        </m:r>
        <m:r>
          <m:rPr>
            <m:sty m:val="p"/>
          </m:rPr>
          <w:rPr>
            <w:rFonts w:ascii="Cambria Math" w:hAnsi="Cambria Math"/>
          </w:rPr>
          <m:t>))</m:t>
        </m:r>
      </m:oMath>
      <w:r>
        <w:t xml:space="preserve">  (16)</w:t>
      </w:r>
    </w:p>
    <w:p w14:paraId="685C071B">
      <w:pPr>
        <w:ind w:firstLine="420"/>
      </w:pPr>
      <w:r>
        <w:t xml:space="preserve">其中 </w:t>
      </w:r>
      <m:oMath>
        <m:r>
          <m:rPr/>
          <w:rPr>
            <w:rFonts w:ascii="Cambria Math" w:hAnsi="Cambria Math"/>
          </w:rPr>
          <m:t>k</m:t>
        </m:r>
      </m:oMath>
      <w:r>
        <w:t>为斜率系数，</w:t>
      </w:r>
      <m:oMath>
        <m:r>
          <m:rPr/>
          <w:rPr>
            <w:rFonts w:ascii="Cambria Math" w:hAnsi="Cambria Math"/>
          </w:rPr>
          <m:t>τ</m:t>
        </m:r>
      </m:oMath>
      <w:r>
        <w:t xml:space="preserve"> 为阈值。随后，对概率图进行可微软骨架化，得到生成骨架与目标骨架</w:t>
      </w:r>
    </w:p>
    <w:p w14:paraId="2D899716">
      <w:pPr>
        <w:ind w:firstLine="420"/>
        <w:jc w:val="right"/>
        <w:rPr>
          <w:rFonts w:hint="eastAsia"/>
        </w:rPr>
      </w:p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=SoftSkel⁡(</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=SoftSkel⁡(</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oMath>
      <w:r>
        <w:rPr>
          <w:rFonts w:hint="eastAsia"/>
        </w:rPr>
        <w:t xml:space="preserve">  (17)</w:t>
      </w:r>
    </w:p>
    <w:p w14:paraId="1275FFA3">
      <w:pPr>
        <w:ind w:firstLine="420"/>
      </w:pPr>
      <w:r>
        <w:t>在此基础上，定义拓扑精确率与召回率分别为</w:t>
      </w:r>
    </w:p>
    <w:p w14:paraId="53DCBF1E">
      <w:pPr>
        <w:ind w:firstLine="420"/>
        <w:jc w:val="right"/>
        <w:rPr>
          <w:rFonts w:hint="eastAsia"/>
        </w:rPr>
      </w:pP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prec</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ε</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sens</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ε</m:t>
            </m:r>
            <m:ctrlPr>
              <w:rPr>
                <w:rFonts w:ascii="Cambria Math" w:hAnsi="Cambria Math"/>
              </w:rPr>
            </m:ctrlPr>
          </m:den>
        </m:f>
      </m:oMath>
      <w:r>
        <w:rPr>
          <w:rFonts w:hint="eastAsia"/>
        </w:rPr>
        <w:t xml:space="preserve">    (18)</w:t>
      </w:r>
    </w:p>
    <w:p w14:paraId="569CD6DC">
      <w:pPr>
        <w:ind w:firstLine="420"/>
      </w:pPr>
      <w:r>
        <w:t>最终，拓扑一致性损失写为</w:t>
      </w:r>
    </w:p>
    <w:p w14:paraId="59EBA484">
      <w:pPr>
        <w:ind w:firstLine="420"/>
        <w:jc w:val="right"/>
        <w:rPr>
          <w:rFonts w:hint="eastAsia"/>
        </w:rPr>
      </w:p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nor/>
                <m:sty m:val="p"/>
              </m:rPr>
              <w:rPr>
                <w:b w:val="0"/>
                <w:i w:val="0"/>
              </w:rPr>
              <m:t>topo</m:t>
            </m:r>
            <m:ctrlPr>
              <w:rPr>
                <w:rFonts w:ascii="Cambria Math" w:hAnsi="Cambria Math"/>
              </w:rPr>
            </m:ctrlPr>
          </m:sub>
        </m:sSub>
        <m:r>
          <m:rPr>
            <m:sty m:val="p"/>
          </m:rPr>
          <w:rPr>
            <w:rFonts w:ascii="Cambria Math" w:hAnsi="Cambria Math"/>
          </w:rPr>
          <m:t>=1−</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prec</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sens</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prec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sens</m:t>
                </m:r>
                <m:ctrlPr>
                  <w:rPr>
                    <w:rFonts w:ascii="Cambria Math" w:hAnsi="Cambria Math"/>
                  </w:rPr>
                </m:ctrlPr>
              </m:sub>
            </m:sSub>
            <m:r>
              <m:rPr>
                <m:sty m:val="p"/>
              </m:rPr>
              <w:rPr>
                <w:rFonts w:ascii="Cambria Math" w:hAnsi="Cambria Math"/>
              </w:rPr>
              <m:t>+</m:t>
            </m:r>
            <m:r>
              <m:rPr/>
              <w:rPr>
                <w:rFonts w:ascii="Cambria Math" w:hAnsi="Cambria Math"/>
              </w:rPr>
              <m:t>ε</m:t>
            </m:r>
            <m:ctrlPr>
              <w:rPr>
                <w:rFonts w:ascii="Cambria Math" w:hAnsi="Cambria Math"/>
              </w:rPr>
            </m:ctrlPr>
          </m:den>
        </m:f>
      </m:oMath>
      <w:r>
        <w:rPr>
          <w:rFonts w:hint="eastAsia"/>
        </w:rPr>
        <w:t xml:space="preserve">         (19)</w:t>
      </w:r>
    </w:p>
    <w:p w14:paraId="2185A69B">
      <w:pPr>
        <w:ind w:firstLine="420"/>
        <w:rPr>
          <w:rFonts w:hint="eastAsia"/>
        </w:rPr>
      </w:pPr>
      <w:r>
        <w:t>这一约束的作用不在于提升字符的语义识别能力，而在于显式约束生成笔画与真实笔画在骨架层面的重合关系，使模型在极少步推理下仍能保持较好的连通性与孔洞结构。它提供的是一种区别于 OCR 监督的形态学归纳偏置，从而与前述两类约束形成互补。</w:t>
      </w:r>
    </w:p>
    <w:p w14:paraId="72F83F57">
      <w:pPr>
        <w:pStyle w:val="2"/>
        <w:numPr>
          <w:ilvl w:val="0"/>
          <w:numId w:val="0"/>
        </w:numPr>
        <w:tabs>
          <w:tab w:val="clear" w:pos="425"/>
        </w:tabs>
        <w:spacing w:before="156" w:after="156"/>
        <w:rPr>
          <w:szCs w:val="28"/>
        </w:rPr>
      </w:pPr>
      <w:r>
        <w:rPr>
          <w:rFonts w:hint="eastAsia"/>
          <w:szCs w:val="28"/>
        </w:rPr>
        <w:t>3实验</w:t>
      </w:r>
    </w:p>
    <w:p w14:paraId="38A2E46B">
      <w:pPr>
        <w:pStyle w:val="3"/>
        <w:numPr>
          <w:ilvl w:val="1"/>
          <w:numId w:val="0"/>
        </w:numPr>
        <w:tabs>
          <w:tab w:val="clear" w:pos="567"/>
        </w:tabs>
        <w:spacing w:before="156" w:after="156"/>
      </w:pPr>
      <w:r>
        <w:rPr>
          <w:rFonts w:hint="eastAsia"/>
        </w:rPr>
        <w:t>3.1</w:t>
      </w:r>
      <w:r>
        <w:t>数据集与评测协议</w:t>
      </w:r>
    </w:p>
    <w:p w14:paraId="6963A08B">
      <w:pPr>
        <w:ind w:firstLine="420"/>
      </w:pPr>
      <w:r>
        <w:t>本文主要使用AnyWord-3M数据集进行蒸馏训练与评测</w:t>
      </w:r>
      <w:r>
        <w:rPr>
          <w:vertAlign w:val="superscript"/>
        </w:rPr>
        <w:t>[21]</w:t>
      </w:r>
      <w:r>
        <w:t>。该数据集面向多语言场景文本生成与编辑任务构建，包含约3.03M张图像、9M+行文本以及20M+字符实例。数据来源包括Noah-Wukong、LAION-400M以及多个公开OCR数据集（ArT、COCO-Text、RCTW、LSVT、MLT、MTWI、ReCTS等）。对于未提供标注的图像，作者使用PP-OCR进行文本检测与识别生成文本行标注，并结合BLIP-2生成图像描述，经过过滤与后处理后形成最终训练数据。</w:t>
      </w:r>
    </w:p>
    <w:p w14:paraId="0A953EDB">
      <w:pPr>
        <w:ind w:firstLine="420"/>
      </w:pPr>
      <w:r>
        <w:t>数据集中约160万张为中文文本图像，139万张为英文文本图像，另包含少量其他语言样本。除训练集外，AnyText2作者从Wukong与LAION子集中随机抽取1000张图像构建评估集AnyText-benchmark，用于评估中英文文本生成的准确性与视觉质量。本文沿用该划分，其中AnyWord-3M用于训练，AnyText-benchmark用于测试。本文以文本可读性为核心评测目标。生成结果通过外部OCR/STR模型进行识别，并计算</w:t>
      </w:r>
      <w:r>
        <w:rPr>
          <w:rFonts w:hint="eastAsia"/>
        </w:rPr>
        <w:t>4类指标。</w:t>
      </w:r>
      <w:r>
        <w:t>Char Acc：字符级识别准确率</w:t>
      </w:r>
      <w:r>
        <w:rPr>
          <w:rFonts w:hint="eastAsia"/>
        </w:rPr>
        <w:t>；</w:t>
      </w:r>
      <w:r>
        <w:t>Word Acc：词级识别准确率</w:t>
      </w:r>
      <w:r>
        <w:rPr>
          <w:rFonts w:hint="eastAsia"/>
        </w:rPr>
        <w:t>；</w:t>
      </w:r>
      <w:r>
        <w:t>CER：字符错误率</w:t>
      </w:r>
      <w:r>
        <w:rPr>
          <w:rFonts w:hint="eastAsia"/>
        </w:rPr>
        <w:t>；</w:t>
      </w:r>
      <w:r>
        <w:t>FID：图像质量指标</w:t>
      </w:r>
      <w:r>
        <w:rPr>
          <w:rFonts w:hint="eastAsia"/>
        </w:rPr>
        <w:t>。</w:t>
      </w:r>
    </w:p>
    <w:p w14:paraId="3C581975">
      <w:pPr>
        <w:ind w:firstLine="420"/>
        <w:rPr>
          <w:rFonts w:hint="eastAsia"/>
        </w:rPr>
      </w:pPr>
      <w:r>
        <w:t>为避免训练与测试使用相同识别器带来的同构偏置，本文采用训练/测试识别器解耦协议。训练阶段使用AnyText2检查点内置的冻结OCR识别器（CTC风格识别器）计算OCR监督损失，梯度仅回传至学生侧LoRA参数；测试阶段则使用PARSeq</w:t>
      </w:r>
      <w:r>
        <w:rPr>
          <w:vertAlign w:val="superscript"/>
        </w:rPr>
        <w:t>[26]</w:t>
      </w:r>
      <w:r>
        <w:t>与TrOCR</w:t>
      </w:r>
      <w:r>
        <w:rPr>
          <w:vertAlign w:val="superscript"/>
        </w:rPr>
        <w:t>[25]</w:t>
      </w:r>
      <w:r>
        <w:t>两种外部识别器进行评测，并报告两者结果的平均值。</w:t>
      </w:r>
    </w:p>
    <w:p w14:paraId="5CF15E52">
      <w:pPr>
        <w:pStyle w:val="3"/>
        <w:numPr>
          <w:ilvl w:val="1"/>
          <w:numId w:val="0"/>
        </w:numPr>
        <w:tabs>
          <w:tab w:val="clear" w:pos="425"/>
          <w:tab w:val="clear" w:pos="567"/>
        </w:tabs>
        <w:spacing w:before="156" w:after="156"/>
        <w:rPr>
          <w:rFonts w:hint="eastAsia"/>
        </w:rPr>
      </w:pPr>
      <w:r>
        <w:rPr>
          <w:rFonts w:hint="eastAsia"/>
          <w:szCs w:val="24"/>
        </w:rPr>
        <w:t>3.2</w:t>
      </w:r>
      <w:r>
        <w:rPr>
          <w:rFonts w:hint="eastAsia"/>
        </w:rPr>
        <w:t>实验细节</w:t>
      </w:r>
    </w:p>
    <w:p w14:paraId="45550C51">
      <w:pPr>
        <w:ind w:firstLine="420"/>
      </w:pPr>
      <w:r>
        <w:t>教师模型为AnyText2</w:t>
      </w:r>
      <w:r>
        <w:rPr>
          <w:vertAlign w:val="superscript"/>
        </w:rPr>
        <w:t>[22]</w:t>
      </w:r>
      <w:r>
        <w:t>，学生模型为其同构网络结合LoRA适配</w:t>
      </w:r>
      <w:r>
        <w:rPr>
          <w:vertAlign w:val="superscript"/>
        </w:rPr>
        <w:t>[10]</w:t>
      </w:r>
      <w:r>
        <w:t>。除非特别说明，本文主结果统一采用50-stepDDIM教师轨迹构造蒸馏目标，并重点报告4-step推理结果；同时补充2-step设置用于分析更激进加速下的性能变化。优化器采用AdamW</w:t>
      </w:r>
      <w:r>
        <w:rPr>
          <w:vertAlign w:val="superscript"/>
        </w:rPr>
        <w:t>[</w:t>
      </w:r>
      <w:r>
        <w:rPr>
          <w:rFonts w:hint="eastAsia"/>
          <w:vertAlign w:val="superscript"/>
        </w:rPr>
        <w:t>29</w:t>
      </w:r>
      <w:r>
        <w:rPr>
          <w:vertAlign w:val="superscript"/>
        </w:rPr>
        <w:t>]</w:t>
      </w:r>
      <w:r>
        <w:t>，训练过程中使用混合精度。</w:t>
      </w:r>
    </w:p>
    <w:p w14:paraId="0FD3FBAB">
      <w:pPr>
        <w:ind w:firstLine="420"/>
        <w:rPr>
          <w:rFonts w:hint="eastAsia"/>
        </w:rPr>
      </w:pPr>
      <w:r>
        <w:t>实现上，注意力蒸馏仅在可记录显式Cross-Attention权重的路径下启用；OCR-CTC监督按固定间隔触发；拓扑约束通过有限迭代的soft</w:t>
      </w:r>
      <w:r>
        <w:rPr>
          <w:rFonts w:hint="eastAsia"/>
        </w:rPr>
        <w:t xml:space="preserve"> </w:t>
      </w:r>
      <w:r>
        <w:t>skeletonization计算。除补充消融外，本文主线方法默认不启用额外的频域或梯度锐化项。延迟测试在单张RTX4090上以batch size=1进行，并在若干次预热后统计平均推理时间。</w:t>
      </w:r>
    </w:p>
    <w:p w14:paraId="7D476CD0">
      <w:pPr>
        <w:pStyle w:val="3"/>
        <w:numPr>
          <w:ilvl w:val="1"/>
          <w:numId w:val="0"/>
        </w:numPr>
        <w:tabs>
          <w:tab w:val="clear" w:pos="567"/>
        </w:tabs>
        <w:spacing w:before="156" w:after="156"/>
      </w:pPr>
      <w:r>
        <w:rPr>
          <w:rFonts w:hint="eastAsia"/>
        </w:rPr>
        <w:t>3.3主结果与对比</w:t>
      </w:r>
    </w:p>
    <w:p w14:paraId="5E6F5118">
      <w:pPr>
        <w:ind w:firstLine="420"/>
        <w:rPr>
          <w:rFonts w:hint="eastAsia"/>
        </w:rPr>
      </w:pPr>
      <w:r>
        <w:t>本文将FlashGlyph与以下方法进行比较：1）AnyText2教师模型（50-step）；2）教师模型结合少步采样器的推理加速方式，包括DDIM、DPM-Solver；3）仅采用一致性蒸馏的LCM-LoRA baseline，其中区分是否采用文本区域mask加权；4）本文提出的FlashGlyph。该比较设置同时覆盖训练无关求解器加速与训练相关少步蒸馏方法，从而更完整地评估FlashGlyph的收益来源。除非特别说明，表中OCR指标均为PARSeq与TrOCR的宏平均结果</w:t>
      </w:r>
      <w:r>
        <w:rPr>
          <w:rFonts w:hint="eastAsia"/>
        </w:rPr>
        <w:t>，</w:t>
      </w:r>
      <w:r>
        <w:t>延迟在单张RTX4090、batch size=1条件下统计。</w:t>
      </w:r>
    </w:p>
    <w:p w14:paraId="3826508A">
      <w:pPr>
        <w:pStyle w:val="105"/>
        <w:spacing w:before="156"/>
      </w:pPr>
      <w:r>
        <w:rPr>
          <w:rFonts w:hint="eastAsia"/>
        </w:rPr>
        <w:t>表1a 中文测试集主实验定量对比</w:t>
      </w:r>
    </w:p>
    <w:tbl>
      <w:tblPr>
        <w:tblStyle w:val="40"/>
        <w:tblW w:w="530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96"/>
        <w:gridCol w:w="331"/>
        <w:gridCol w:w="677"/>
        <w:gridCol w:w="583"/>
        <w:gridCol w:w="619"/>
        <w:gridCol w:w="619"/>
        <w:gridCol w:w="511"/>
        <w:gridCol w:w="391"/>
      </w:tblGrid>
      <w:tr w14:paraId="4780EC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1196" w:type="dxa"/>
            <w:tcBorders>
              <w:bottom w:val="single" w:color="000000" w:sz="12" w:space="0"/>
              <w:tl2br w:val="nil"/>
              <w:tr2bl w:val="nil"/>
            </w:tcBorders>
          </w:tcPr>
          <w:p w14:paraId="30EC840B">
            <w:pPr>
              <w:ind w:firstLine="0" w:firstLineChars="0"/>
              <w:jc w:val="center"/>
              <w:rPr>
                <w:sz w:val="18"/>
              </w:rPr>
            </w:pPr>
            <w:r>
              <w:rPr>
                <w:rFonts w:hint="eastAsia"/>
                <w:sz w:val="18"/>
              </w:rPr>
              <w:t>方法</w:t>
            </w:r>
          </w:p>
        </w:tc>
        <w:tc>
          <w:tcPr>
            <w:tcW w:w="331" w:type="dxa"/>
            <w:tcBorders>
              <w:bottom w:val="single" w:color="000000" w:sz="12" w:space="0"/>
              <w:tl2br w:val="nil"/>
              <w:tr2bl w:val="nil"/>
            </w:tcBorders>
          </w:tcPr>
          <w:p w14:paraId="7C925F87">
            <w:pPr>
              <w:ind w:firstLine="0" w:firstLineChars="0"/>
              <w:jc w:val="center"/>
              <w:rPr>
                <w:sz w:val="18"/>
              </w:rPr>
            </w:pPr>
            <w:r>
              <w:rPr>
                <w:rFonts w:hint="eastAsia"/>
                <w:sz w:val="18"/>
              </w:rPr>
              <w:t>步数</w:t>
            </w:r>
          </w:p>
        </w:tc>
        <w:tc>
          <w:tcPr>
            <w:tcW w:w="677" w:type="dxa"/>
            <w:tcBorders>
              <w:bottom w:val="single" w:color="000000" w:sz="12" w:space="0"/>
              <w:tl2br w:val="nil"/>
              <w:tr2bl w:val="nil"/>
            </w:tcBorders>
          </w:tcPr>
          <w:p w14:paraId="1667AD77">
            <w:pPr>
              <w:ind w:firstLine="0" w:firstLineChars="0"/>
              <w:jc w:val="center"/>
              <w:rPr>
                <w:sz w:val="18"/>
              </w:rPr>
            </w:pPr>
            <w:r>
              <w:rPr>
                <w:rFonts w:hint="eastAsia"/>
                <w:sz w:val="18"/>
              </w:rPr>
              <w:t>延迟 (ms)</w:t>
            </w:r>
          </w:p>
        </w:tc>
        <w:tc>
          <w:tcPr>
            <w:tcW w:w="583" w:type="dxa"/>
            <w:tcBorders>
              <w:bottom w:val="single" w:color="000000" w:sz="12" w:space="0"/>
              <w:tl2br w:val="nil"/>
              <w:tr2bl w:val="nil"/>
            </w:tcBorders>
          </w:tcPr>
          <w:p w14:paraId="2276659B">
            <w:pPr>
              <w:ind w:firstLine="0" w:firstLineChars="0"/>
              <w:jc w:val="center"/>
              <w:rPr>
                <w:sz w:val="18"/>
              </w:rPr>
            </w:pPr>
            <w:r>
              <w:rPr>
                <w:rFonts w:hint="eastAsia"/>
                <w:sz w:val="18"/>
              </w:rPr>
              <w:t>加速比</w:t>
            </w:r>
          </w:p>
        </w:tc>
        <w:tc>
          <w:tcPr>
            <w:tcW w:w="619" w:type="dxa"/>
            <w:tcBorders>
              <w:bottom w:val="single" w:color="000000" w:sz="12" w:space="0"/>
              <w:tl2br w:val="nil"/>
              <w:tr2bl w:val="nil"/>
            </w:tcBorders>
          </w:tcPr>
          <w:p w14:paraId="3324A7B4">
            <w:pPr>
              <w:ind w:firstLine="0" w:firstLineChars="0"/>
              <w:jc w:val="center"/>
              <w:rPr>
                <w:sz w:val="18"/>
              </w:rPr>
            </w:pPr>
            <w:r>
              <w:rPr>
                <w:rFonts w:hint="eastAsia"/>
                <w:sz w:val="18"/>
              </w:rPr>
              <w:t>Char Acc ↑</w:t>
            </w:r>
          </w:p>
        </w:tc>
        <w:tc>
          <w:tcPr>
            <w:tcW w:w="619" w:type="dxa"/>
            <w:tcBorders>
              <w:bottom w:val="single" w:color="000000" w:sz="12" w:space="0"/>
              <w:tl2br w:val="nil"/>
              <w:tr2bl w:val="nil"/>
            </w:tcBorders>
          </w:tcPr>
          <w:p w14:paraId="2042674E">
            <w:pPr>
              <w:ind w:firstLine="0" w:firstLineChars="0"/>
              <w:jc w:val="center"/>
              <w:rPr>
                <w:sz w:val="18"/>
              </w:rPr>
            </w:pPr>
            <w:r>
              <w:rPr>
                <w:rFonts w:hint="eastAsia"/>
                <w:sz w:val="18"/>
              </w:rPr>
              <w:t>Word Acc ↑</w:t>
            </w:r>
          </w:p>
        </w:tc>
        <w:tc>
          <w:tcPr>
            <w:tcW w:w="511" w:type="dxa"/>
            <w:tcBorders>
              <w:bottom w:val="single" w:color="000000" w:sz="12" w:space="0"/>
              <w:tl2br w:val="nil"/>
              <w:tr2bl w:val="nil"/>
            </w:tcBorders>
          </w:tcPr>
          <w:p w14:paraId="2E81D6AE">
            <w:pPr>
              <w:ind w:firstLine="0" w:firstLineChars="0"/>
              <w:jc w:val="center"/>
              <w:rPr>
                <w:sz w:val="18"/>
              </w:rPr>
            </w:pPr>
            <w:r>
              <w:rPr>
                <w:rFonts w:hint="eastAsia"/>
                <w:sz w:val="18"/>
              </w:rPr>
              <w:t>CER ↓</w:t>
            </w:r>
          </w:p>
        </w:tc>
        <w:tc>
          <w:tcPr>
            <w:tcW w:w="391" w:type="dxa"/>
            <w:tcBorders>
              <w:bottom w:val="single" w:color="000000" w:sz="12" w:space="0"/>
              <w:tl2br w:val="nil"/>
              <w:tr2bl w:val="nil"/>
            </w:tcBorders>
          </w:tcPr>
          <w:p w14:paraId="4615A5A8">
            <w:pPr>
              <w:ind w:firstLine="0" w:firstLineChars="0"/>
              <w:jc w:val="center"/>
              <w:rPr>
                <w:sz w:val="18"/>
              </w:rPr>
            </w:pPr>
            <w:r>
              <w:rPr>
                <w:rFonts w:hint="eastAsia"/>
                <w:sz w:val="18"/>
              </w:rPr>
              <w:t>FID ↓</w:t>
            </w:r>
          </w:p>
        </w:tc>
      </w:tr>
      <w:tr w14:paraId="012AC1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549" w:hRule="atLeast"/>
          <w:jc w:val="center"/>
        </w:trPr>
        <w:tc>
          <w:tcPr>
            <w:tcW w:w="1196" w:type="dxa"/>
            <w:tcBorders>
              <w:top w:val="single" w:color="000000" w:sz="12" w:space="0"/>
              <w:tl2br w:val="nil"/>
              <w:tr2bl w:val="nil"/>
            </w:tcBorders>
          </w:tcPr>
          <w:p w14:paraId="3805AAF4">
            <w:pPr>
              <w:ind w:firstLine="0" w:firstLineChars="0"/>
              <w:jc w:val="center"/>
              <w:rPr>
                <w:sz w:val="18"/>
              </w:rPr>
            </w:pPr>
            <w:r>
              <w:rPr>
                <w:rFonts w:hint="eastAsia"/>
                <w:sz w:val="18"/>
              </w:rPr>
              <w:t>AnyText2 (Teacher)</w:t>
            </w:r>
          </w:p>
        </w:tc>
        <w:tc>
          <w:tcPr>
            <w:tcW w:w="331" w:type="dxa"/>
            <w:tcBorders>
              <w:top w:val="single" w:color="000000" w:sz="12" w:space="0"/>
              <w:tl2br w:val="nil"/>
              <w:tr2bl w:val="nil"/>
            </w:tcBorders>
          </w:tcPr>
          <w:p w14:paraId="4C7C2C41">
            <w:pPr>
              <w:ind w:firstLine="0" w:firstLineChars="0"/>
              <w:jc w:val="center"/>
              <w:rPr>
                <w:sz w:val="18"/>
              </w:rPr>
            </w:pPr>
            <w:r>
              <w:rPr>
                <w:rFonts w:hint="eastAsia"/>
                <w:sz w:val="18"/>
              </w:rPr>
              <w:t>50</w:t>
            </w:r>
          </w:p>
        </w:tc>
        <w:tc>
          <w:tcPr>
            <w:tcW w:w="677" w:type="dxa"/>
            <w:tcBorders>
              <w:top w:val="single" w:color="000000" w:sz="12" w:space="0"/>
              <w:tl2br w:val="nil"/>
              <w:tr2bl w:val="nil"/>
            </w:tcBorders>
          </w:tcPr>
          <w:p w14:paraId="52BA9CBE">
            <w:pPr>
              <w:ind w:firstLine="0" w:firstLineChars="0"/>
              <w:jc w:val="center"/>
              <w:rPr>
                <w:sz w:val="18"/>
              </w:rPr>
            </w:pPr>
            <w:r>
              <w:rPr>
                <w:rFonts w:hint="eastAsia"/>
                <w:sz w:val="18"/>
              </w:rPr>
              <w:t>~10440</w:t>
            </w:r>
          </w:p>
        </w:tc>
        <w:tc>
          <w:tcPr>
            <w:tcW w:w="583" w:type="dxa"/>
            <w:tcBorders>
              <w:top w:val="single" w:color="000000" w:sz="12" w:space="0"/>
              <w:tl2br w:val="nil"/>
              <w:tr2bl w:val="nil"/>
            </w:tcBorders>
          </w:tcPr>
          <w:p w14:paraId="5C1C0AC6">
            <w:pPr>
              <w:ind w:firstLine="0" w:firstLineChars="0"/>
              <w:jc w:val="center"/>
              <w:rPr>
                <w:sz w:val="18"/>
              </w:rPr>
            </w:pPr>
            <w:r>
              <w:rPr>
                <w:rFonts w:hint="eastAsia"/>
                <w:sz w:val="18"/>
              </w:rPr>
              <w:t>1.0×</w:t>
            </w:r>
          </w:p>
        </w:tc>
        <w:tc>
          <w:tcPr>
            <w:tcW w:w="619" w:type="dxa"/>
            <w:tcBorders>
              <w:top w:val="single" w:color="000000" w:sz="12" w:space="0"/>
              <w:tl2br w:val="nil"/>
              <w:tr2bl w:val="nil"/>
            </w:tcBorders>
          </w:tcPr>
          <w:p w14:paraId="3AD64165">
            <w:pPr>
              <w:ind w:firstLine="0" w:firstLineChars="0"/>
              <w:jc w:val="center"/>
              <w:rPr>
                <w:sz w:val="18"/>
              </w:rPr>
            </w:pPr>
            <w:r>
              <w:rPr>
                <w:rFonts w:hint="eastAsia"/>
                <w:sz w:val="18"/>
              </w:rPr>
              <w:t>94.1%</w:t>
            </w:r>
          </w:p>
        </w:tc>
        <w:tc>
          <w:tcPr>
            <w:tcW w:w="619" w:type="dxa"/>
            <w:tcBorders>
              <w:top w:val="single" w:color="000000" w:sz="12" w:space="0"/>
              <w:tl2br w:val="nil"/>
              <w:tr2bl w:val="nil"/>
            </w:tcBorders>
          </w:tcPr>
          <w:p w14:paraId="48979602">
            <w:pPr>
              <w:ind w:firstLine="0" w:firstLineChars="0"/>
              <w:jc w:val="center"/>
              <w:rPr>
                <w:sz w:val="18"/>
              </w:rPr>
            </w:pPr>
            <w:r>
              <w:rPr>
                <w:rFonts w:hint="eastAsia"/>
                <w:sz w:val="18"/>
              </w:rPr>
              <w:t>89.3%</w:t>
            </w:r>
          </w:p>
        </w:tc>
        <w:tc>
          <w:tcPr>
            <w:tcW w:w="511" w:type="dxa"/>
            <w:tcBorders>
              <w:top w:val="single" w:color="000000" w:sz="12" w:space="0"/>
              <w:tl2br w:val="nil"/>
              <w:tr2bl w:val="nil"/>
            </w:tcBorders>
          </w:tcPr>
          <w:p w14:paraId="7A62AE27">
            <w:pPr>
              <w:ind w:firstLine="0" w:firstLineChars="0"/>
              <w:jc w:val="center"/>
              <w:rPr>
                <w:sz w:val="18"/>
              </w:rPr>
            </w:pPr>
            <w:r>
              <w:rPr>
                <w:rFonts w:hint="eastAsia"/>
                <w:sz w:val="18"/>
              </w:rPr>
              <w:t>5.9%</w:t>
            </w:r>
          </w:p>
        </w:tc>
        <w:tc>
          <w:tcPr>
            <w:tcW w:w="391" w:type="dxa"/>
            <w:tcBorders>
              <w:top w:val="single" w:color="000000" w:sz="12" w:space="0"/>
              <w:tl2br w:val="nil"/>
              <w:tr2bl w:val="nil"/>
            </w:tcBorders>
          </w:tcPr>
          <w:p w14:paraId="36C00FCB">
            <w:pPr>
              <w:ind w:firstLine="0" w:firstLineChars="0"/>
              <w:jc w:val="center"/>
              <w:rPr>
                <w:sz w:val="18"/>
              </w:rPr>
            </w:pPr>
            <w:r>
              <w:rPr>
                <w:rFonts w:hint="eastAsia"/>
                <w:sz w:val="18"/>
              </w:rPr>
              <w:t>11.8</w:t>
            </w:r>
          </w:p>
        </w:tc>
      </w:tr>
      <w:tr w14:paraId="48FF57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96" w:type="dxa"/>
            <w:tcBorders>
              <w:tl2br w:val="nil"/>
              <w:tr2bl w:val="nil"/>
            </w:tcBorders>
          </w:tcPr>
          <w:p w14:paraId="605C9420">
            <w:pPr>
              <w:ind w:firstLine="0" w:firstLineChars="0"/>
              <w:jc w:val="center"/>
              <w:rPr>
                <w:sz w:val="18"/>
              </w:rPr>
            </w:pPr>
            <w:r>
              <w:rPr>
                <w:rFonts w:hint="eastAsia"/>
                <w:sz w:val="18"/>
              </w:rPr>
              <w:t>DDIM-4step</w:t>
            </w:r>
          </w:p>
        </w:tc>
        <w:tc>
          <w:tcPr>
            <w:tcW w:w="331" w:type="dxa"/>
            <w:tcBorders>
              <w:tl2br w:val="nil"/>
              <w:tr2bl w:val="nil"/>
            </w:tcBorders>
          </w:tcPr>
          <w:p w14:paraId="5AAB8317">
            <w:pPr>
              <w:ind w:firstLine="0" w:firstLineChars="0"/>
              <w:jc w:val="center"/>
              <w:rPr>
                <w:sz w:val="18"/>
              </w:rPr>
            </w:pPr>
            <w:r>
              <w:rPr>
                <w:rFonts w:hint="eastAsia"/>
                <w:sz w:val="18"/>
              </w:rPr>
              <w:t>4</w:t>
            </w:r>
          </w:p>
        </w:tc>
        <w:tc>
          <w:tcPr>
            <w:tcW w:w="677" w:type="dxa"/>
            <w:tcBorders>
              <w:tl2br w:val="nil"/>
              <w:tr2bl w:val="nil"/>
            </w:tcBorders>
          </w:tcPr>
          <w:p w14:paraId="00D0EB24">
            <w:pPr>
              <w:ind w:firstLine="0" w:firstLineChars="0"/>
              <w:jc w:val="center"/>
              <w:rPr>
                <w:sz w:val="18"/>
              </w:rPr>
            </w:pPr>
            <w:r>
              <w:rPr>
                <w:rFonts w:hint="eastAsia"/>
                <w:sz w:val="18"/>
              </w:rPr>
              <w:t>~840</w:t>
            </w:r>
          </w:p>
        </w:tc>
        <w:tc>
          <w:tcPr>
            <w:tcW w:w="583" w:type="dxa"/>
            <w:tcBorders>
              <w:tl2br w:val="nil"/>
              <w:tr2bl w:val="nil"/>
            </w:tcBorders>
          </w:tcPr>
          <w:p w14:paraId="69D97920">
            <w:pPr>
              <w:ind w:firstLine="0" w:firstLineChars="0"/>
              <w:jc w:val="center"/>
              <w:rPr>
                <w:sz w:val="18"/>
              </w:rPr>
            </w:pPr>
            <w:r>
              <w:rPr>
                <w:rFonts w:hint="eastAsia"/>
                <w:sz w:val="18"/>
              </w:rPr>
              <w:t>12.4×</w:t>
            </w:r>
          </w:p>
        </w:tc>
        <w:tc>
          <w:tcPr>
            <w:tcW w:w="619" w:type="dxa"/>
            <w:tcBorders>
              <w:tl2br w:val="nil"/>
              <w:tr2bl w:val="nil"/>
            </w:tcBorders>
          </w:tcPr>
          <w:p w14:paraId="5708B18B">
            <w:pPr>
              <w:ind w:firstLine="0" w:firstLineChars="0"/>
              <w:jc w:val="center"/>
              <w:rPr>
                <w:sz w:val="18"/>
              </w:rPr>
            </w:pPr>
            <w:r>
              <w:rPr>
                <w:rFonts w:hint="eastAsia"/>
                <w:sz w:val="18"/>
              </w:rPr>
              <w:t>58.3%</w:t>
            </w:r>
          </w:p>
        </w:tc>
        <w:tc>
          <w:tcPr>
            <w:tcW w:w="619" w:type="dxa"/>
            <w:tcBorders>
              <w:tl2br w:val="nil"/>
              <w:tr2bl w:val="nil"/>
            </w:tcBorders>
          </w:tcPr>
          <w:p w14:paraId="038FFC8A">
            <w:pPr>
              <w:ind w:firstLine="0" w:firstLineChars="0"/>
              <w:jc w:val="center"/>
              <w:rPr>
                <w:sz w:val="18"/>
              </w:rPr>
            </w:pPr>
            <w:r>
              <w:rPr>
                <w:rFonts w:hint="eastAsia"/>
                <w:sz w:val="18"/>
              </w:rPr>
              <w:t>42.1%</w:t>
            </w:r>
          </w:p>
        </w:tc>
        <w:tc>
          <w:tcPr>
            <w:tcW w:w="511" w:type="dxa"/>
            <w:tcBorders>
              <w:tl2br w:val="nil"/>
              <w:tr2bl w:val="nil"/>
            </w:tcBorders>
          </w:tcPr>
          <w:p w14:paraId="45D7E1D8">
            <w:pPr>
              <w:ind w:firstLine="0" w:firstLineChars="0"/>
              <w:jc w:val="center"/>
              <w:rPr>
                <w:sz w:val="18"/>
              </w:rPr>
            </w:pPr>
            <w:r>
              <w:rPr>
                <w:rFonts w:hint="eastAsia"/>
                <w:sz w:val="18"/>
              </w:rPr>
              <w:t>41.7%</w:t>
            </w:r>
          </w:p>
        </w:tc>
        <w:tc>
          <w:tcPr>
            <w:tcW w:w="391" w:type="dxa"/>
            <w:tcBorders>
              <w:tl2br w:val="nil"/>
              <w:tr2bl w:val="nil"/>
            </w:tcBorders>
          </w:tcPr>
          <w:p w14:paraId="05FFFFA7">
            <w:pPr>
              <w:ind w:firstLine="0" w:firstLineChars="0"/>
              <w:jc w:val="center"/>
              <w:rPr>
                <w:sz w:val="18"/>
              </w:rPr>
            </w:pPr>
            <w:r>
              <w:rPr>
                <w:rFonts w:hint="eastAsia"/>
                <w:sz w:val="18"/>
              </w:rPr>
              <w:t>52.3</w:t>
            </w:r>
          </w:p>
        </w:tc>
      </w:tr>
      <w:tr w14:paraId="669BB3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96" w:type="dxa"/>
            <w:tcBorders>
              <w:tl2br w:val="nil"/>
              <w:tr2bl w:val="nil"/>
            </w:tcBorders>
          </w:tcPr>
          <w:p w14:paraId="06CD8FD1">
            <w:pPr>
              <w:ind w:firstLine="0" w:firstLineChars="0"/>
              <w:jc w:val="center"/>
              <w:rPr>
                <w:sz w:val="18"/>
              </w:rPr>
            </w:pPr>
            <w:r>
              <w:rPr>
                <w:rFonts w:hint="eastAsia"/>
                <w:sz w:val="18"/>
              </w:rPr>
              <w:t>DDIM-10step</w:t>
            </w:r>
          </w:p>
        </w:tc>
        <w:tc>
          <w:tcPr>
            <w:tcW w:w="331" w:type="dxa"/>
            <w:tcBorders>
              <w:tl2br w:val="nil"/>
              <w:tr2bl w:val="nil"/>
            </w:tcBorders>
          </w:tcPr>
          <w:p w14:paraId="1712FA21">
            <w:pPr>
              <w:ind w:firstLine="0" w:firstLineChars="0"/>
              <w:jc w:val="center"/>
              <w:rPr>
                <w:sz w:val="18"/>
              </w:rPr>
            </w:pPr>
            <w:r>
              <w:rPr>
                <w:rFonts w:hint="eastAsia"/>
                <w:sz w:val="18"/>
              </w:rPr>
              <w:t>10</w:t>
            </w:r>
          </w:p>
        </w:tc>
        <w:tc>
          <w:tcPr>
            <w:tcW w:w="677" w:type="dxa"/>
            <w:tcBorders>
              <w:tl2br w:val="nil"/>
              <w:tr2bl w:val="nil"/>
            </w:tcBorders>
          </w:tcPr>
          <w:p w14:paraId="4E12761D">
            <w:pPr>
              <w:ind w:firstLine="0" w:firstLineChars="0"/>
              <w:jc w:val="center"/>
              <w:rPr>
                <w:sz w:val="18"/>
              </w:rPr>
            </w:pPr>
            <w:r>
              <w:rPr>
                <w:rFonts w:hint="eastAsia"/>
                <w:sz w:val="18"/>
              </w:rPr>
              <w:t>~2100</w:t>
            </w:r>
          </w:p>
        </w:tc>
        <w:tc>
          <w:tcPr>
            <w:tcW w:w="583" w:type="dxa"/>
            <w:tcBorders>
              <w:tl2br w:val="nil"/>
              <w:tr2bl w:val="nil"/>
            </w:tcBorders>
          </w:tcPr>
          <w:p w14:paraId="354A243B">
            <w:pPr>
              <w:ind w:firstLine="0" w:firstLineChars="0"/>
              <w:jc w:val="center"/>
              <w:rPr>
                <w:sz w:val="18"/>
              </w:rPr>
            </w:pPr>
            <w:r>
              <w:rPr>
                <w:rFonts w:hint="eastAsia"/>
                <w:sz w:val="18"/>
              </w:rPr>
              <w:t>5.0×</w:t>
            </w:r>
          </w:p>
        </w:tc>
        <w:tc>
          <w:tcPr>
            <w:tcW w:w="619" w:type="dxa"/>
            <w:tcBorders>
              <w:tl2br w:val="nil"/>
              <w:tr2bl w:val="nil"/>
            </w:tcBorders>
          </w:tcPr>
          <w:p w14:paraId="785CC246">
            <w:pPr>
              <w:ind w:firstLine="0" w:firstLineChars="0"/>
              <w:jc w:val="center"/>
              <w:rPr>
                <w:sz w:val="18"/>
              </w:rPr>
            </w:pPr>
            <w:r>
              <w:rPr>
                <w:rFonts w:hint="eastAsia"/>
                <w:sz w:val="18"/>
              </w:rPr>
              <w:t>71.2%</w:t>
            </w:r>
          </w:p>
        </w:tc>
        <w:tc>
          <w:tcPr>
            <w:tcW w:w="619" w:type="dxa"/>
            <w:tcBorders>
              <w:tl2br w:val="nil"/>
              <w:tr2bl w:val="nil"/>
            </w:tcBorders>
          </w:tcPr>
          <w:p w14:paraId="1995E547">
            <w:pPr>
              <w:ind w:firstLine="0" w:firstLineChars="0"/>
              <w:jc w:val="center"/>
              <w:rPr>
                <w:sz w:val="18"/>
              </w:rPr>
            </w:pPr>
            <w:r>
              <w:rPr>
                <w:rFonts w:hint="eastAsia"/>
                <w:sz w:val="18"/>
              </w:rPr>
              <w:t>58.4%</w:t>
            </w:r>
          </w:p>
        </w:tc>
        <w:tc>
          <w:tcPr>
            <w:tcW w:w="511" w:type="dxa"/>
            <w:tcBorders>
              <w:tl2br w:val="nil"/>
              <w:tr2bl w:val="nil"/>
            </w:tcBorders>
          </w:tcPr>
          <w:p w14:paraId="2689935C">
            <w:pPr>
              <w:ind w:firstLine="0" w:firstLineChars="0"/>
              <w:jc w:val="center"/>
              <w:rPr>
                <w:sz w:val="18"/>
              </w:rPr>
            </w:pPr>
            <w:r>
              <w:rPr>
                <w:rFonts w:hint="eastAsia"/>
                <w:sz w:val="18"/>
              </w:rPr>
              <w:t>28.8%</w:t>
            </w:r>
          </w:p>
        </w:tc>
        <w:tc>
          <w:tcPr>
            <w:tcW w:w="391" w:type="dxa"/>
            <w:tcBorders>
              <w:tl2br w:val="nil"/>
              <w:tr2bl w:val="nil"/>
            </w:tcBorders>
          </w:tcPr>
          <w:p w14:paraId="06E6FD9A">
            <w:pPr>
              <w:ind w:firstLine="0" w:firstLineChars="0"/>
              <w:jc w:val="center"/>
              <w:rPr>
                <w:sz w:val="18"/>
              </w:rPr>
            </w:pPr>
            <w:r>
              <w:rPr>
                <w:rFonts w:hint="eastAsia"/>
                <w:sz w:val="18"/>
              </w:rPr>
              <w:t>34.7</w:t>
            </w:r>
          </w:p>
        </w:tc>
      </w:tr>
      <w:tr w14:paraId="171B17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196" w:type="dxa"/>
            <w:tcBorders>
              <w:tl2br w:val="nil"/>
              <w:tr2bl w:val="nil"/>
            </w:tcBorders>
          </w:tcPr>
          <w:p w14:paraId="7E502AF4">
            <w:pPr>
              <w:ind w:firstLine="0" w:firstLineChars="0"/>
              <w:jc w:val="center"/>
              <w:rPr>
                <w:sz w:val="18"/>
              </w:rPr>
            </w:pPr>
            <w:r>
              <w:rPr>
                <w:rFonts w:hint="eastAsia"/>
                <w:sz w:val="18"/>
              </w:rPr>
              <w:t>DPM-Solver-10</w:t>
            </w:r>
          </w:p>
        </w:tc>
        <w:tc>
          <w:tcPr>
            <w:tcW w:w="331" w:type="dxa"/>
            <w:tcBorders>
              <w:tl2br w:val="nil"/>
              <w:tr2bl w:val="nil"/>
            </w:tcBorders>
          </w:tcPr>
          <w:p w14:paraId="648CD4A4">
            <w:pPr>
              <w:ind w:firstLine="0" w:firstLineChars="0"/>
              <w:jc w:val="center"/>
              <w:rPr>
                <w:sz w:val="18"/>
              </w:rPr>
            </w:pPr>
            <w:r>
              <w:rPr>
                <w:rFonts w:hint="eastAsia"/>
                <w:sz w:val="18"/>
              </w:rPr>
              <w:t>10</w:t>
            </w:r>
          </w:p>
        </w:tc>
        <w:tc>
          <w:tcPr>
            <w:tcW w:w="677" w:type="dxa"/>
            <w:tcBorders>
              <w:tl2br w:val="nil"/>
              <w:tr2bl w:val="nil"/>
            </w:tcBorders>
          </w:tcPr>
          <w:p w14:paraId="09C6771E">
            <w:pPr>
              <w:ind w:firstLine="0" w:firstLineChars="0"/>
              <w:jc w:val="center"/>
              <w:rPr>
                <w:sz w:val="18"/>
              </w:rPr>
            </w:pPr>
            <w:r>
              <w:rPr>
                <w:rFonts w:hint="eastAsia"/>
                <w:sz w:val="18"/>
              </w:rPr>
              <w:t>~936</w:t>
            </w:r>
          </w:p>
        </w:tc>
        <w:tc>
          <w:tcPr>
            <w:tcW w:w="583" w:type="dxa"/>
            <w:tcBorders>
              <w:tl2br w:val="nil"/>
              <w:tr2bl w:val="nil"/>
            </w:tcBorders>
          </w:tcPr>
          <w:p w14:paraId="1DD45DB7">
            <w:pPr>
              <w:ind w:firstLine="0" w:firstLineChars="0"/>
              <w:jc w:val="center"/>
              <w:rPr>
                <w:sz w:val="18"/>
              </w:rPr>
            </w:pPr>
            <w:r>
              <w:rPr>
                <w:rFonts w:hint="eastAsia"/>
                <w:sz w:val="18"/>
              </w:rPr>
              <w:t>11.2×</w:t>
            </w:r>
          </w:p>
        </w:tc>
        <w:tc>
          <w:tcPr>
            <w:tcW w:w="619" w:type="dxa"/>
            <w:tcBorders>
              <w:tl2br w:val="nil"/>
              <w:tr2bl w:val="nil"/>
            </w:tcBorders>
          </w:tcPr>
          <w:p w14:paraId="771C0893">
            <w:pPr>
              <w:ind w:firstLine="0" w:firstLineChars="0"/>
              <w:jc w:val="center"/>
              <w:rPr>
                <w:sz w:val="18"/>
              </w:rPr>
            </w:pPr>
            <w:r>
              <w:rPr>
                <w:rFonts w:hint="eastAsia"/>
                <w:sz w:val="18"/>
              </w:rPr>
              <w:t>73.5%</w:t>
            </w:r>
          </w:p>
        </w:tc>
        <w:tc>
          <w:tcPr>
            <w:tcW w:w="619" w:type="dxa"/>
            <w:tcBorders>
              <w:tl2br w:val="nil"/>
              <w:tr2bl w:val="nil"/>
            </w:tcBorders>
          </w:tcPr>
          <w:p w14:paraId="0981DA1B">
            <w:pPr>
              <w:ind w:firstLine="0" w:firstLineChars="0"/>
              <w:jc w:val="center"/>
              <w:rPr>
                <w:sz w:val="18"/>
              </w:rPr>
            </w:pPr>
            <w:r>
              <w:rPr>
                <w:rFonts w:hint="eastAsia"/>
                <w:sz w:val="18"/>
              </w:rPr>
              <w:t>61.7%</w:t>
            </w:r>
          </w:p>
        </w:tc>
        <w:tc>
          <w:tcPr>
            <w:tcW w:w="511" w:type="dxa"/>
            <w:tcBorders>
              <w:tl2br w:val="nil"/>
              <w:tr2bl w:val="nil"/>
            </w:tcBorders>
          </w:tcPr>
          <w:p w14:paraId="5598E419">
            <w:pPr>
              <w:ind w:firstLine="0" w:firstLineChars="0"/>
              <w:jc w:val="center"/>
              <w:rPr>
                <w:sz w:val="18"/>
              </w:rPr>
            </w:pPr>
            <w:r>
              <w:rPr>
                <w:rFonts w:hint="eastAsia"/>
                <w:sz w:val="18"/>
              </w:rPr>
              <w:t>26.5%</w:t>
            </w:r>
          </w:p>
        </w:tc>
        <w:tc>
          <w:tcPr>
            <w:tcW w:w="391" w:type="dxa"/>
            <w:tcBorders>
              <w:tl2br w:val="nil"/>
              <w:tr2bl w:val="nil"/>
            </w:tcBorders>
          </w:tcPr>
          <w:p w14:paraId="657365F3">
            <w:pPr>
              <w:ind w:firstLine="0" w:firstLineChars="0"/>
              <w:jc w:val="center"/>
              <w:rPr>
                <w:sz w:val="18"/>
              </w:rPr>
            </w:pPr>
            <w:r>
              <w:rPr>
                <w:rFonts w:hint="eastAsia"/>
                <w:sz w:val="18"/>
              </w:rPr>
              <w:t>31.2</w:t>
            </w:r>
          </w:p>
        </w:tc>
      </w:tr>
      <w:tr w14:paraId="2BD7A6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96" w:type="dxa"/>
            <w:tcBorders>
              <w:tl2br w:val="nil"/>
              <w:tr2bl w:val="nil"/>
            </w:tcBorders>
          </w:tcPr>
          <w:p w14:paraId="055ED658">
            <w:pPr>
              <w:ind w:firstLine="0" w:firstLineChars="0"/>
              <w:jc w:val="center"/>
              <w:rPr>
                <w:sz w:val="18"/>
              </w:rPr>
            </w:pPr>
            <w:r>
              <w:rPr>
                <w:rFonts w:hint="eastAsia"/>
                <w:sz w:val="18"/>
              </w:rPr>
              <w:t>DPM-Solver-15</w:t>
            </w:r>
          </w:p>
        </w:tc>
        <w:tc>
          <w:tcPr>
            <w:tcW w:w="331" w:type="dxa"/>
            <w:tcBorders>
              <w:tl2br w:val="nil"/>
              <w:tr2bl w:val="nil"/>
            </w:tcBorders>
          </w:tcPr>
          <w:p w14:paraId="2251995B">
            <w:pPr>
              <w:ind w:firstLine="0" w:firstLineChars="0"/>
              <w:jc w:val="center"/>
              <w:rPr>
                <w:sz w:val="18"/>
              </w:rPr>
            </w:pPr>
            <w:r>
              <w:rPr>
                <w:rFonts w:hint="eastAsia"/>
                <w:sz w:val="18"/>
              </w:rPr>
              <w:t>15</w:t>
            </w:r>
          </w:p>
        </w:tc>
        <w:tc>
          <w:tcPr>
            <w:tcW w:w="677" w:type="dxa"/>
            <w:tcBorders>
              <w:tl2br w:val="nil"/>
              <w:tr2bl w:val="nil"/>
            </w:tcBorders>
          </w:tcPr>
          <w:p w14:paraId="2F74F20E">
            <w:pPr>
              <w:ind w:firstLine="0" w:firstLineChars="0"/>
              <w:jc w:val="center"/>
              <w:rPr>
                <w:sz w:val="18"/>
              </w:rPr>
            </w:pPr>
            <w:r>
              <w:rPr>
                <w:rFonts w:hint="eastAsia"/>
                <w:sz w:val="18"/>
              </w:rPr>
              <w:t>~1404</w:t>
            </w:r>
          </w:p>
        </w:tc>
        <w:tc>
          <w:tcPr>
            <w:tcW w:w="583" w:type="dxa"/>
            <w:tcBorders>
              <w:tl2br w:val="nil"/>
              <w:tr2bl w:val="nil"/>
            </w:tcBorders>
          </w:tcPr>
          <w:p w14:paraId="3476CD31">
            <w:pPr>
              <w:ind w:firstLine="0" w:firstLineChars="0"/>
              <w:jc w:val="center"/>
              <w:rPr>
                <w:sz w:val="18"/>
              </w:rPr>
            </w:pPr>
            <w:r>
              <w:rPr>
                <w:rFonts w:hint="eastAsia"/>
                <w:sz w:val="18"/>
              </w:rPr>
              <w:t>7.4×</w:t>
            </w:r>
          </w:p>
        </w:tc>
        <w:tc>
          <w:tcPr>
            <w:tcW w:w="619" w:type="dxa"/>
            <w:tcBorders>
              <w:tl2br w:val="nil"/>
              <w:tr2bl w:val="nil"/>
            </w:tcBorders>
          </w:tcPr>
          <w:p w14:paraId="4CAA9CED">
            <w:pPr>
              <w:ind w:firstLine="0" w:firstLineChars="0"/>
              <w:jc w:val="center"/>
              <w:rPr>
                <w:sz w:val="18"/>
              </w:rPr>
            </w:pPr>
            <w:r>
              <w:rPr>
                <w:rFonts w:hint="eastAsia"/>
                <w:sz w:val="18"/>
              </w:rPr>
              <w:t>78.9%</w:t>
            </w:r>
          </w:p>
        </w:tc>
        <w:tc>
          <w:tcPr>
            <w:tcW w:w="619" w:type="dxa"/>
            <w:tcBorders>
              <w:tl2br w:val="nil"/>
              <w:tr2bl w:val="nil"/>
            </w:tcBorders>
          </w:tcPr>
          <w:p w14:paraId="48531EEB">
            <w:pPr>
              <w:ind w:firstLine="0" w:firstLineChars="0"/>
              <w:jc w:val="center"/>
              <w:rPr>
                <w:sz w:val="18"/>
              </w:rPr>
            </w:pPr>
            <w:r>
              <w:rPr>
                <w:rFonts w:hint="eastAsia"/>
                <w:sz w:val="18"/>
              </w:rPr>
              <w:t>68.3%</w:t>
            </w:r>
          </w:p>
        </w:tc>
        <w:tc>
          <w:tcPr>
            <w:tcW w:w="511" w:type="dxa"/>
            <w:tcBorders>
              <w:tl2br w:val="nil"/>
              <w:tr2bl w:val="nil"/>
            </w:tcBorders>
          </w:tcPr>
          <w:p w14:paraId="37D5E9A6">
            <w:pPr>
              <w:ind w:firstLine="0" w:firstLineChars="0"/>
              <w:jc w:val="center"/>
              <w:rPr>
                <w:sz w:val="18"/>
              </w:rPr>
            </w:pPr>
            <w:r>
              <w:rPr>
                <w:rFonts w:hint="eastAsia"/>
                <w:sz w:val="18"/>
              </w:rPr>
              <w:t>21.1%</w:t>
            </w:r>
          </w:p>
        </w:tc>
        <w:tc>
          <w:tcPr>
            <w:tcW w:w="391" w:type="dxa"/>
            <w:tcBorders>
              <w:tl2br w:val="nil"/>
              <w:tr2bl w:val="nil"/>
            </w:tcBorders>
          </w:tcPr>
          <w:p w14:paraId="24715BB3">
            <w:pPr>
              <w:ind w:firstLine="0" w:firstLineChars="0"/>
              <w:jc w:val="center"/>
              <w:rPr>
                <w:sz w:val="18"/>
              </w:rPr>
            </w:pPr>
            <w:r>
              <w:rPr>
                <w:rFonts w:hint="eastAsia"/>
                <w:sz w:val="18"/>
              </w:rPr>
              <w:t>24.8</w:t>
            </w:r>
          </w:p>
        </w:tc>
      </w:tr>
      <w:tr w14:paraId="6BED79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96" w:type="dxa"/>
            <w:tcBorders>
              <w:tl2br w:val="nil"/>
              <w:tr2bl w:val="nil"/>
            </w:tcBorders>
          </w:tcPr>
          <w:p w14:paraId="4DE4E61A">
            <w:pPr>
              <w:ind w:firstLine="0" w:firstLineChars="0"/>
              <w:jc w:val="center"/>
              <w:rPr>
                <w:sz w:val="18"/>
              </w:rPr>
            </w:pPr>
            <w:r>
              <w:rPr>
                <w:rFonts w:hint="eastAsia"/>
                <w:sz w:val="18"/>
              </w:rPr>
              <w:t>LCM-baseline (no mask)</w:t>
            </w:r>
          </w:p>
        </w:tc>
        <w:tc>
          <w:tcPr>
            <w:tcW w:w="331" w:type="dxa"/>
            <w:tcBorders>
              <w:tl2br w:val="nil"/>
              <w:tr2bl w:val="nil"/>
            </w:tcBorders>
          </w:tcPr>
          <w:p w14:paraId="615C651C">
            <w:pPr>
              <w:ind w:firstLine="0" w:firstLineChars="0"/>
              <w:jc w:val="center"/>
              <w:rPr>
                <w:sz w:val="18"/>
              </w:rPr>
            </w:pPr>
            <w:r>
              <w:rPr>
                <w:rFonts w:hint="eastAsia"/>
                <w:sz w:val="18"/>
              </w:rPr>
              <w:t>4</w:t>
            </w:r>
          </w:p>
        </w:tc>
        <w:tc>
          <w:tcPr>
            <w:tcW w:w="677" w:type="dxa"/>
            <w:tcBorders>
              <w:tl2br w:val="nil"/>
              <w:tr2bl w:val="nil"/>
            </w:tcBorders>
          </w:tcPr>
          <w:p w14:paraId="309FD211">
            <w:pPr>
              <w:ind w:firstLine="0" w:firstLineChars="0"/>
              <w:jc w:val="center"/>
              <w:rPr>
                <w:sz w:val="18"/>
              </w:rPr>
            </w:pPr>
            <w:r>
              <w:rPr>
                <w:rFonts w:hint="eastAsia"/>
                <w:sz w:val="18"/>
              </w:rPr>
              <w:t>~816</w:t>
            </w:r>
          </w:p>
        </w:tc>
        <w:tc>
          <w:tcPr>
            <w:tcW w:w="583" w:type="dxa"/>
            <w:tcBorders>
              <w:tl2br w:val="nil"/>
              <w:tr2bl w:val="nil"/>
            </w:tcBorders>
          </w:tcPr>
          <w:p w14:paraId="7E4AA96B">
            <w:pPr>
              <w:ind w:firstLine="0" w:firstLineChars="0"/>
              <w:jc w:val="center"/>
              <w:rPr>
                <w:sz w:val="18"/>
              </w:rPr>
            </w:pPr>
            <w:r>
              <w:rPr>
                <w:rFonts w:hint="eastAsia"/>
                <w:sz w:val="18"/>
              </w:rPr>
              <w:t>12.8×</w:t>
            </w:r>
          </w:p>
        </w:tc>
        <w:tc>
          <w:tcPr>
            <w:tcW w:w="619" w:type="dxa"/>
            <w:tcBorders>
              <w:tl2br w:val="nil"/>
              <w:tr2bl w:val="nil"/>
            </w:tcBorders>
          </w:tcPr>
          <w:p w14:paraId="11526682">
            <w:pPr>
              <w:ind w:firstLine="0" w:firstLineChars="0"/>
              <w:jc w:val="center"/>
              <w:rPr>
                <w:sz w:val="18"/>
              </w:rPr>
            </w:pPr>
            <w:r>
              <w:rPr>
                <w:rFonts w:hint="eastAsia"/>
                <w:sz w:val="18"/>
              </w:rPr>
              <w:t>75.2%</w:t>
            </w:r>
          </w:p>
        </w:tc>
        <w:tc>
          <w:tcPr>
            <w:tcW w:w="619" w:type="dxa"/>
            <w:tcBorders>
              <w:tl2br w:val="nil"/>
              <w:tr2bl w:val="nil"/>
            </w:tcBorders>
          </w:tcPr>
          <w:p w14:paraId="21334DCA">
            <w:pPr>
              <w:ind w:firstLine="0" w:firstLineChars="0"/>
              <w:jc w:val="center"/>
              <w:rPr>
                <w:sz w:val="18"/>
              </w:rPr>
            </w:pPr>
            <w:r>
              <w:rPr>
                <w:rFonts w:hint="eastAsia"/>
                <w:sz w:val="18"/>
              </w:rPr>
              <w:t>63.4%</w:t>
            </w:r>
          </w:p>
        </w:tc>
        <w:tc>
          <w:tcPr>
            <w:tcW w:w="511" w:type="dxa"/>
            <w:tcBorders>
              <w:tl2br w:val="nil"/>
              <w:tr2bl w:val="nil"/>
            </w:tcBorders>
          </w:tcPr>
          <w:p w14:paraId="483BF993">
            <w:pPr>
              <w:ind w:firstLine="0" w:firstLineChars="0"/>
              <w:jc w:val="center"/>
              <w:rPr>
                <w:sz w:val="18"/>
              </w:rPr>
            </w:pPr>
            <w:r>
              <w:rPr>
                <w:rFonts w:hint="eastAsia"/>
                <w:sz w:val="18"/>
              </w:rPr>
              <w:t>24.8%</w:t>
            </w:r>
          </w:p>
        </w:tc>
        <w:tc>
          <w:tcPr>
            <w:tcW w:w="391" w:type="dxa"/>
            <w:tcBorders>
              <w:tl2br w:val="nil"/>
              <w:tr2bl w:val="nil"/>
            </w:tcBorders>
          </w:tcPr>
          <w:p w14:paraId="3FE26946">
            <w:pPr>
              <w:ind w:firstLine="0" w:firstLineChars="0"/>
              <w:jc w:val="center"/>
              <w:rPr>
                <w:sz w:val="18"/>
              </w:rPr>
            </w:pPr>
            <w:r>
              <w:rPr>
                <w:rFonts w:hint="eastAsia"/>
                <w:sz w:val="18"/>
              </w:rPr>
              <w:t>26.7</w:t>
            </w:r>
          </w:p>
        </w:tc>
      </w:tr>
      <w:tr w14:paraId="1F2D4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96" w:type="dxa"/>
            <w:tcBorders>
              <w:tl2br w:val="nil"/>
              <w:tr2bl w:val="nil"/>
            </w:tcBorders>
          </w:tcPr>
          <w:p w14:paraId="105519C9">
            <w:pPr>
              <w:ind w:firstLine="0" w:firstLineChars="0"/>
              <w:jc w:val="center"/>
              <w:rPr>
                <w:sz w:val="18"/>
              </w:rPr>
            </w:pPr>
            <w:r>
              <w:rPr>
                <w:rFonts w:hint="eastAsia"/>
                <w:sz w:val="18"/>
              </w:rPr>
              <w:t>LCM-baseline (mask)</w:t>
            </w:r>
          </w:p>
        </w:tc>
        <w:tc>
          <w:tcPr>
            <w:tcW w:w="331" w:type="dxa"/>
            <w:tcBorders>
              <w:tl2br w:val="nil"/>
              <w:tr2bl w:val="nil"/>
            </w:tcBorders>
          </w:tcPr>
          <w:p w14:paraId="2BCAEE64">
            <w:pPr>
              <w:ind w:firstLine="0" w:firstLineChars="0"/>
              <w:jc w:val="center"/>
              <w:rPr>
                <w:sz w:val="18"/>
              </w:rPr>
            </w:pPr>
            <w:r>
              <w:rPr>
                <w:rFonts w:hint="eastAsia"/>
                <w:sz w:val="18"/>
              </w:rPr>
              <w:t>4</w:t>
            </w:r>
          </w:p>
        </w:tc>
        <w:tc>
          <w:tcPr>
            <w:tcW w:w="677" w:type="dxa"/>
            <w:tcBorders>
              <w:tl2br w:val="nil"/>
              <w:tr2bl w:val="nil"/>
            </w:tcBorders>
          </w:tcPr>
          <w:p w14:paraId="232838EA">
            <w:pPr>
              <w:ind w:firstLine="0" w:firstLineChars="0"/>
              <w:jc w:val="center"/>
              <w:rPr>
                <w:sz w:val="18"/>
              </w:rPr>
            </w:pPr>
            <w:r>
              <w:rPr>
                <w:rFonts w:hint="eastAsia"/>
                <w:sz w:val="18"/>
              </w:rPr>
              <w:t>~816</w:t>
            </w:r>
          </w:p>
        </w:tc>
        <w:tc>
          <w:tcPr>
            <w:tcW w:w="583" w:type="dxa"/>
            <w:tcBorders>
              <w:tl2br w:val="nil"/>
              <w:tr2bl w:val="nil"/>
            </w:tcBorders>
          </w:tcPr>
          <w:p w14:paraId="591C2087">
            <w:pPr>
              <w:ind w:firstLine="0" w:firstLineChars="0"/>
              <w:jc w:val="center"/>
              <w:rPr>
                <w:sz w:val="18"/>
              </w:rPr>
            </w:pPr>
            <w:r>
              <w:rPr>
                <w:rFonts w:hint="eastAsia"/>
                <w:sz w:val="18"/>
              </w:rPr>
              <w:t>12.8×</w:t>
            </w:r>
          </w:p>
        </w:tc>
        <w:tc>
          <w:tcPr>
            <w:tcW w:w="619" w:type="dxa"/>
            <w:tcBorders>
              <w:tl2br w:val="nil"/>
              <w:tr2bl w:val="nil"/>
            </w:tcBorders>
          </w:tcPr>
          <w:p w14:paraId="2718CBBD">
            <w:pPr>
              <w:ind w:firstLine="0" w:firstLineChars="0"/>
              <w:jc w:val="center"/>
              <w:rPr>
                <w:sz w:val="18"/>
              </w:rPr>
            </w:pPr>
            <w:r>
              <w:rPr>
                <w:rFonts w:hint="eastAsia"/>
                <w:sz w:val="18"/>
              </w:rPr>
              <w:t>79.8%</w:t>
            </w:r>
          </w:p>
        </w:tc>
        <w:tc>
          <w:tcPr>
            <w:tcW w:w="619" w:type="dxa"/>
            <w:tcBorders>
              <w:tl2br w:val="nil"/>
              <w:tr2bl w:val="nil"/>
            </w:tcBorders>
          </w:tcPr>
          <w:p w14:paraId="7D4CCC53">
            <w:pPr>
              <w:ind w:firstLine="0" w:firstLineChars="0"/>
              <w:jc w:val="center"/>
              <w:rPr>
                <w:sz w:val="18"/>
              </w:rPr>
            </w:pPr>
            <w:r>
              <w:rPr>
                <w:rFonts w:hint="eastAsia"/>
                <w:sz w:val="18"/>
              </w:rPr>
              <w:t>69.1%</w:t>
            </w:r>
          </w:p>
        </w:tc>
        <w:tc>
          <w:tcPr>
            <w:tcW w:w="511" w:type="dxa"/>
            <w:tcBorders>
              <w:tl2br w:val="nil"/>
              <w:tr2bl w:val="nil"/>
            </w:tcBorders>
          </w:tcPr>
          <w:p w14:paraId="064794FA">
            <w:pPr>
              <w:ind w:firstLine="0" w:firstLineChars="0"/>
              <w:jc w:val="center"/>
              <w:rPr>
                <w:sz w:val="18"/>
              </w:rPr>
            </w:pPr>
            <w:r>
              <w:rPr>
                <w:rFonts w:hint="eastAsia"/>
                <w:sz w:val="18"/>
              </w:rPr>
              <w:t>20.2%</w:t>
            </w:r>
          </w:p>
        </w:tc>
        <w:tc>
          <w:tcPr>
            <w:tcW w:w="391" w:type="dxa"/>
            <w:tcBorders>
              <w:tl2br w:val="nil"/>
              <w:tr2bl w:val="nil"/>
            </w:tcBorders>
          </w:tcPr>
          <w:p w14:paraId="032AE203">
            <w:pPr>
              <w:ind w:firstLine="0" w:firstLineChars="0"/>
              <w:jc w:val="center"/>
              <w:rPr>
                <w:sz w:val="18"/>
              </w:rPr>
            </w:pPr>
            <w:r>
              <w:rPr>
                <w:rFonts w:hint="eastAsia"/>
                <w:sz w:val="18"/>
              </w:rPr>
              <w:t>23.1</w:t>
            </w:r>
          </w:p>
        </w:tc>
      </w:tr>
      <w:tr w14:paraId="217886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96" w:type="dxa"/>
            <w:tcBorders>
              <w:tl2br w:val="nil"/>
              <w:tr2bl w:val="nil"/>
            </w:tcBorders>
          </w:tcPr>
          <w:p w14:paraId="260FEC7B">
            <w:pPr>
              <w:ind w:firstLine="0" w:firstLineChars="0"/>
              <w:jc w:val="center"/>
              <w:rPr>
                <w:sz w:val="18"/>
              </w:rPr>
            </w:pPr>
            <w:r>
              <w:rPr>
                <w:rFonts w:hint="eastAsia"/>
                <w:sz w:val="18"/>
              </w:rPr>
              <w:t>FlashGlyph (ours)</w:t>
            </w:r>
          </w:p>
        </w:tc>
        <w:tc>
          <w:tcPr>
            <w:tcW w:w="331" w:type="dxa"/>
            <w:tcBorders>
              <w:tl2br w:val="nil"/>
              <w:tr2bl w:val="nil"/>
            </w:tcBorders>
          </w:tcPr>
          <w:p w14:paraId="4BEFF8D5">
            <w:pPr>
              <w:ind w:firstLine="0" w:firstLineChars="0"/>
              <w:jc w:val="center"/>
              <w:rPr>
                <w:sz w:val="18"/>
              </w:rPr>
            </w:pPr>
            <w:r>
              <w:rPr>
                <w:rFonts w:hint="eastAsia"/>
                <w:sz w:val="18"/>
              </w:rPr>
              <w:t>4</w:t>
            </w:r>
          </w:p>
        </w:tc>
        <w:tc>
          <w:tcPr>
            <w:tcW w:w="677" w:type="dxa"/>
            <w:tcBorders>
              <w:tl2br w:val="nil"/>
              <w:tr2bl w:val="nil"/>
            </w:tcBorders>
          </w:tcPr>
          <w:p w14:paraId="5029EE87">
            <w:pPr>
              <w:ind w:firstLine="0" w:firstLineChars="0"/>
              <w:jc w:val="center"/>
              <w:rPr>
                <w:sz w:val="18"/>
              </w:rPr>
            </w:pPr>
            <w:r>
              <w:rPr>
                <w:rFonts w:hint="eastAsia"/>
                <w:sz w:val="18"/>
              </w:rPr>
              <w:t>~852</w:t>
            </w:r>
          </w:p>
        </w:tc>
        <w:tc>
          <w:tcPr>
            <w:tcW w:w="583" w:type="dxa"/>
            <w:tcBorders>
              <w:tl2br w:val="nil"/>
              <w:tr2bl w:val="nil"/>
            </w:tcBorders>
          </w:tcPr>
          <w:p w14:paraId="73B08123">
            <w:pPr>
              <w:ind w:firstLine="0" w:firstLineChars="0"/>
              <w:jc w:val="center"/>
              <w:rPr>
                <w:sz w:val="18"/>
              </w:rPr>
            </w:pPr>
            <w:r>
              <w:rPr>
                <w:rFonts w:hint="eastAsia"/>
                <w:sz w:val="18"/>
              </w:rPr>
              <w:t>12.3×</w:t>
            </w:r>
          </w:p>
        </w:tc>
        <w:tc>
          <w:tcPr>
            <w:tcW w:w="619" w:type="dxa"/>
            <w:tcBorders>
              <w:tl2br w:val="nil"/>
              <w:tr2bl w:val="nil"/>
            </w:tcBorders>
          </w:tcPr>
          <w:p w14:paraId="55572296">
            <w:pPr>
              <w:ind w:firstLine="0" w:firstLineChars="0"/>
              <w:jc w:val="center"/>
              <w:rPr>
                <w:sz w:val="18"/>
              </w:rPr>
            </w:pPr>
            <w:r>
              <w:rPr>
                <w:rFonts w:hint="eastAsia"/>
                <w:sz w:val="18"/>
              </w:rPr>
              <w:t>87.6%</w:t>
            </w:r>
          </w:p>
        </w:tc>
        <w:tc>
          <w:tcPr>
            <w:tcW w:w="619" w:type="dxa"/>
            <w:tcBorders>
              <w:tl2br w:val="nil"/>
              <w:tr2bl w:val="nil"/>
            </w:tcBorders>
          </w:tcPr>
          <w:p w14:paraId="0AD6AC89">
            <w:pPr>
              <w:ind w:firstLine="0" w:firstLineChars="0"/>
              <w:jc w:val="center"/>
              <w:rPr>
                <w:sz w:val="18"/>
              </w:rPr>
            </w:pPr>
            <w:r>
              <w:rPr>
                <w:rFonts w:hint="eastAsia"/>
                <w:sz w:val="18"/>
              </w:rPr>
              <w:t>79.4%</w:t>
            </w:r>
          </w:p>
        </w:tc>
        <w:tc>
          <w:tcPr>
            <w:tcW w:w="511" w:type="dxa"/>
            <w:tcBorders>
              <w:tl2br w:val="nil"/>
              <w:tr2bl w:val="nil"/>
            </w:tcBorders>
          </w:tcPr>
          <w:p w14:paraId="68A5C7A7">
            <w:pPr>
              <w:ind w:firstLine="0" w:firstLineChars="0"/>
              <w:jc w:val="center"/>
              <w:rPr>
                <w:sz w:val="18"/>
              </w:rPr>
            </w:pPr>
            <w:r>
              <w:rPr>
                <w:rFonts w:hint="eastAsia"/>
                <w:sz w:val="18"/>
              </w:rPr>
              <w:t>12.4%</w:t>
            </w:r>
          </w:p>
        </w:tc>
        <w:tc>
          <w:tcPr>
            <w:tcW w:w="391" w:type="dxa"/>
            <w:tcBorders>
              <w:tl2br w:val="nil"/>
              <w:tr2bl w:val="nil"/>
            </w:tcBorders>
          </w:tcPr>
          <w:p w14:paraId="3AE9413D">
            <w:pPr>
              <w:ind w:firstLine="0" w:firstLineChars="0"/>
              <w:jc w:val="center"/>
              <w:rPr>
                <w:sz w:val="18"/>
              </w:rPr>
            </w:pPr>
            <w:r>
              <w:rPr>
                <w:rFonts w:hint="eastAsia"/>
                <w:sz w:val="18"/>
              </w:rPr>
              <w:t>17.9</w:t>
            </w:r>
          </w:p>
        </w:tc>
      </w:tr>
      <w:tr w14:paraId="627A30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96" w:type="dxa"/>
            <w:tcBorders>
              <w:tl2br w:val="nil"/>
              <w:tr2bl w:val="nil"/>
            </w:tcBorders>
          </w:tcPr>
          <w:p w14:paraId="27C8A43D">
            <w:pPr>
              <w:ind w:firstLine="0" w:firstLineChars="0"/>
              <w:jc w:val="center"/>
              <w:rPr>
                <w:sz w:val="18"/>
              </w:rPr>
            </w:pPr>
            <w:r>
              <w:rPr>
                <w:rFonts w:hint="eastAsia"/>
                <w:sz w:val="18"/>
              </w:rPr>
              <w:t>FlashGlyph (2-step)</w:t>
            </w:r>
          </w:p>
        </w:tc>
        <w:tc>
          <w:tcPr>
            <w:tcW w:w="331" w:type="dxa"/>
            <w:tcBorders>
              <w:tl2br w:val="nil"/>
              <w:tr2bl w:val="nil"/>
            </w:tcBorders>
          </w:tcPr>
          <w:p w14:paraId="57517FF1">
            <w:pPr>
              <w:ind w:firstLine="0" w:firstLineChars="0"/>
              <w:jc w:val="center"/>
              <w:rPr>
                <w:sz w:val="18"/>
              </w:rPr>
            </w:pPr>
            <w:r>
              <w:rPr>
                <w:rFonts w:hint="eastAsia"/>
                <w:sz w:val="18"/>
              </w:rPr>
              <w:t>2</w:t>
            </w:r>
          </w:p>
        </w:tc>
        <w:tc>
          <w:tcPr>
            <w:tcW w:w="677" w:type="dxa"/>
            <w:tcBorders>
              <w:tl2br w:val="nil"/>
              <w:tr2bl w:val="nil"/>
            </w:tcBorders>
          </w:tcPr>
          <w:p w14:paraId="6CA61AD6">
            <w:pPr>
              <w:ind w:firstLine="0" w:firstLineChars="0"/>
              <w:jc w:val="center"/>
              <w:rPr>
                <w:sz w:val="18"/>
              </w:rPr>
            </w:pPr>
            <w:r>
              <w:rPr>
                <w:rFonts w:hint="eastAsia"/>
                <w:sz w:val="18"/>
              </w:rPr>
              <w:t>~432</w:t>
            </w:r>
          </w:p>
        </w:tc>
        <w:tc>
          <w:tcPr>
            <w:tcW w:w="583" w:type="dxa"/>
            <w:tcBorders>
              <w:tl2br w:val="nil"/>
              <w:tr2bl w:val="nil"/>
            </w:tcBorders>
          </w:tcPr>
          <w:p w14:paraId="3B607F3A">
            <w:pPr>
              <w:ind w:firstLine="0" w:firstLineChars="0"/>
              <w:jc w:val="center"/>
              <w:rPr>
                <w:sz w:val="18"/>
              </w:rPr>
            </w:pPr>
            <w:r>
              <w:rPr>
                <w:rFonts w:hint="eastAsia"/>
                <w:sz w:val="18"/>
              </w:rPr>
              <w:t>24.2×</w:t>
            </w:r>
          </w:p>
        </w:tc>
        <w:tc>
          <w:tcPr>
            <w:tcW w:w="619" w:type="dxa"/>
            <w:tcBorders>
              <w:tl2br w:val="nil"/>
              <w:tr2bl w:val="nil"/>
            </w:tcBorders>
          </w:tcPr>
          <w:p w14:paraId="7FFD94BB">
            <w:pPr>
              <w:ind w:firstLine="0" w:firstLineChars="0"/>
              <w:jc w:val="center"/>
              <w:rPr>
                <w:sz w:val="18"/>
              </w:rPr>
            </w:pPr>
            <w:r>
              <w:rPr>
                <w:rFonts w:hint="eastAsia"/>
                <w:sz w:val="18"/>
              </w:rPr>
              <w:t>81.3%</w:t>
            </w:r>
          </w:p>
        </w:tc>
        <w:tc>
          <w:tcPr>
            <w:tcW w:w="619" w:type="dxa"/>
            <w:tcBorders>
              <w:tl2br w:val="nil"/>
              <w:tr2bl w:val="nil"/>
            </w:tcBorders>
          </w:tcPr>
          <w:p w14:paraId="3E3FC0C5">
            <w:pPr>
              <w:ind w:firstLine="0" w:firstLineChars="0"/>
              <w:jc w:val="center"/>
              <w:rPr>
                <w:sz w:val="18"/>
              </w:rPr>
            </w:pPr>
            <w:r>
              <w:rPr>
                <w:rFonts w:hint="eastAsia"/>
                <w:sz w:val="18"/>
              </w:rPr>
              <w:t>71.2%</w:t>
            </w:r>
          </w:p>
        </w:tc>
        <w:tc>
          <w:tcPr>
            <w:tcW w:w="511" w:type="dxa"/>
            <w:tcBorders>
              <w:tl2br w:val="nil"/>
              <w:tr2bl w:val="nil"/>
            </w:tcBorders>
          </w:tcPr>
          <w:p w14:paraId="2ED322B4">
            <w:pPr>
              <w:ind w:firstLine="0" w:firstLineChars="0"/>
              <w:jc w:val="center"/>
              <w:rPr>
                <w:sz w:val="18"/>
              </w:rPr>
            </w:pPr>
            <w:r>
              <w:rPr>
                <w:rFonts w:hint="eastAsia"/>
                <w:sz w:val="18"/>
              </w:rPr>
              <w:t>18.7%</w:t>
            </w:r>
          </w:p>
        </w:tc>
        <w:tc>
          <w:tcPr>
            <w:tcW w:w="391" w:type="dxa"/>
            <w:tcBorders>
              <w:tl2br w:val="nil"/>
              <w:tr2bl w:val="nil"/>
            </w:tcBorders>
          </w:tcPr>
          <w:p w14:paraId="74E724C3">
            <w:pPr>
              <w:ind w:firstLine="0" w:firstLineChars="0"/>
              <w:jc w:val="center"/>
              <w:rPr>
                <w:sz w:val="18"/>
              </w:rPr>
            </w:pPr>
            <w:r>
              <w:rPr>
                <w:rFonts w:hint="eastAsia"/>
                <w:sz w:val="18"/>
              </w:rPr>
              <w:t>21.4</w:t>
            </w:r>
          </w:p>
        </w:tc>
      </w:tr>
      <w:tr w14:paraId="122155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196" w:type="dxa"/>
            <w:tcBorders>
              <w:tl2br w:val="nil"/>
              <w:tr2bl w:val="nil"/>
            </w:tcBorders>
          </w:tcPr>
          <w:p w14:paraId="04ABE1A2">
            <w:pPr>
              <w:ind w:firstLine="0" w:firstLineChars="0"/>
              <w:jc w:val="center"/>
              <w:rPr>
                <w:sz w:val="18"/>
              </w:rPr>
            </w:pPr>
            <w:r>
              <w:rPr>
                <w:rFonts w:hint="eastAsia"/>
                <w:sz w:val="18"/>
              </w:rPr>
              <w:t>FlashGlyph (8-step)</w:t>
            </w:r>
          </w:p>
        </w:tc>
        <w:tc>
          <w:tcPr>
            <w:tcW w:w="331" w:type="dxa"/>
            <w:tcBorders>
              <w:tl2br w:val="nil"/>
              <w:tr2bl w:val="nil"/>
            </w:tcBorders>
          </w:tcPr>
          <w:p w14:paraId="50FBAEB6">
            <w:pPr>
              <w:ind w:firstLine="0" w:firstLineChars="0"/>
              <w:jc w:val="center"/>
              <w:rPr>
                <w:sz w:val="18"/>
              </w:rPr>
            </w:pPr>
            <w:r>
              <w:rPr>
                <w:rFonts w:hint="eastAsia"/>
                <w:sz w:val="18"/>
              </w:rPr>
              <w:t>8</w:t>
            </w:r>
          </w:p>
        </w:tc>
        <w:tc>
          <w:tcPr>
            <w:tcW w:w="677" w:type="dxa"/>
            <w:tcBorders>
              <w:tl2br w:val="nil"/>
              <w:tr2bl w:val="nil"/>
            </w:tcBorders>
          </w:tcPr>
          <w:p w14:paraId="626A520F">
            <w:pPr>
              <w:ind w:firstLine="0" w:firstLineChars="0"/>
              <w:jc w:val="center"/>
              <w:rPr>
                <w:sz w:val="18"/>
              </w:rPr>
            </w:pPr>
            <w:r>
              <w:rPr>
                <w:rFonts w:hint="eastAsia"/>
                <w:sz w:val="18"/>
              </w:rPr>
              <w:t>~1416</w:t>
            </w:r>
          </w:p>
        </w:tc>
        <w:tc>
          <w:tcPr>
            <w:tcW w:w="583" w:type="dxa"/>
            <w:tcBorders>
              <w:tl2br w:val="nil"/>
              <w:tr2bl w:val="nil"/>
            </w:tcBorders>
          </w:tcPr>
          <w:p w14:paraId="23DAF067">
            <w:pPr>
              <w:ind w:firstLine="0" w:firstLineChars="0"/>
              <w:jc w:val="center"/>
              <w:rPr>
                <w:sz w:val="18"/>
              </w:rPr>
            </w:pPr>
            <w:r>
              <w:rPr>
                <w:rFonts w:hint="eastAsia"/>
                <w:sz w:val="18"/>
              </w:rPr>
              <w:t>6.3×</w:t>
            </w:r>
          </w:p>
        </w:tc>
        <w:tc>
          <w:tcPr>
            <w:tcW w:w="619" w:type="dxa"/>
            <w:tcBorders>
              <w:tl2br w:val="nil"/>
              <w:tr2bl w:val="nil"/>
            </w:tcBorders>
          </w:tcPr>
          <w:p w14:paraId="214568ED">
            <w:pPr>
              <w:ind w:firstLine="0" w:firstLineChars="0"/>
              <w:jc w:val="center"/>
              <w:rPr>
                <w:sz w:val="18"/>
              </w:rPr>
            </w:pPr>
            <w:r>
              <w:rPr>
                <w:rFonts w:hint="eastAsia"/>
                <w:sz w:val="18"/>
              </w:rPr>
              <w:t>89.8%</w:t>
            </w:r>
          </w:p>
        </w:tc>
        <w:tc>
          <w:tcPr>
            <w:tcW w:w="619" w:type="dxa"/>
            <w:tcBorders>
              <w:tl2br w:val="nil"/>
              <w:tr2bl w:val="nil"/>
            </w:tcBorders>
          </w:tcPr>
          <w:p w14:paraId="7ED706D7">
            <w:pPr>
              <w:ind w:firstLine="0" w:firstLineChars="0"/>
              <w:jc w:val="center"/>
              <w:rPr>
                <w:sz w:val="18"/>
              </w:rPr>
            </w:pPr>
            <w:r>
              <w:rPr>
                <w:rFonts w:hint="eastAsia"/>
                <w:sz w:val="18"/>
              </w:rPr>
              <w:t>82.1%</w:t>
            </w:r>
          </w:p>
        </w:tc>
        <w:tc>
          <w:tcPr>
            <w:tcW w:w="511" w:type="dxa"/>
            <w:tcBorders>
              <w:tl2br w:val="nil"/>
              <w:tr2bl w:val="nil"/>
            </w:tcBorders>
          </w:tcPr>
          <w:p w14:paraId="1A2E4F88">
            <w:pPr>
              <w:ind w:firstLine="0" w:firstLineChars="0"/>
              <w:jc w:val="center"/>
              <w:rPr>
                <w:sz w:val="18"/>
              </w:rPr>
            </w:pPr>
            <w:r>
              <w:rPr>
                <w:rFonts w:hint="eastAsia"/>
                <w:sz w:val="18"/>
              </w:rPr>
              <w:t>9.2%</w:t>
            </w:r>
          </w:p>
        </w:tc>
        <w:tc>
          <w:tcPr>
            <w:tcW w:w="391" w:type="dxa"/>
            <w:tcBorders>
              <w:tl2br w:val="nil"/>
              <w:tr2bl w:val="nil"/>
            </w:tcBorders>
          </w:tcPr>
          <w:p w14:paraId="7DADDDC2">
            <w:pPr>
              <w:ind w:firstLine="0" w:firstLineChars="0"/>
              <w:jc w:val="center"/>
              <w:rPr>
                <w:sz w:val="18"/>
              </w:rPr>
            </w:pPr>
            <w:r>
              <w:rPr>
                <w:rFonts w:hint="eastAsia"/>
                <w:sz w:val="18"/>
              </w:rPr>
              <w:t>14.7</w:t>
            </w:r>
          </w:p>
        </w:tc>
      </w:tr>
    </w:tbl>
    <w:p w14:paraId="23C71F8B">
      <w:pPr>
        <w:pStyle w:val="105"/>
        <w:spacing w:before="156"/>
      </w:pPr>
      <w:r>
        <w:t>表1b 英文测试集主实验定量对比</w:t>
      </w:r>
    </w:p>
    <w:tbl>
      <w:tblPr>
        <w:tblStyle w:val="40"/>
        <w:tblW w:w="474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70"/>
        <w:gridCol w:w="226"/>
        <w:gridCol w:w="568"/>
        <w:gridCol w:w="515"/>
        <w:gridCol w:w="486"/>
        <w:gridCol w:w="516"/>
        <w:gridCol w:w="486"/>
        <w:gridCol w:w="335"/>
      </w:tblGrid>
      <w:tr w14:paraId="6E85B6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0" w:hRule="atLeast"/>
          <w:tblHeader/>
          <w:jc w:val="center"/>
        </w:trPr>
        <w:tc>
          <w:tcPr>
            <w:tcW w:w="1442" w:type="pct"/>
            <w:tcBorders>
              <w:bottom w:val="single" w:color="000000" w:sz="12" w:space="0"/>
              <w:tl2br w:val="nil"/>
              <w:tr2bl w:val="nil"/>
            </w:tcBorders>
          </w:tcPr>
          <w:p w14:paraId="2911EDF7">
            <w:pPr>
              <w:ind w:firstLine="0" w:firstLineChars="0"/>
              <w:jc w:val="center"/>
              <w:rPr>
                <w:sz w:val="18"/>
              </w:rPr>
            </w:pPr>
            <w:r>
              <w:rPr>
                <w:rFonts w:hint="eastAsia"/>
                <w:sz w:val="18"/>
              </w:rPr>
              <w:t>方法</w:t>
            </w:r>
          </w:p>
        </w:tc>
        <w:tc>
          <w:tcPr>
            <w:tcW w:w="256" w:type="pct"/>
            <w:tcBorders>
              <w:bottom w:val="single" w:color="000000" w:sz="12" w:space="0"/>
              <w:tl2br w:val="nil"/>
              <w:tr2bl w:val="nil"/>
            </w:tcBorders>
          </w:tcPr>
          <w:p w14:paraId="2FE2E7BC">
            <w:pPr>
              <w:ind w:firstLine="0" w:firstLineChars="0"/>
              <w:jc w:val="center"/>
              <w:rPr>
                <w:sz w:val="18"/>
              </w:rPr>
            </w:pPr>
            <w:r>
              <w:rPr>
                <w:rFonts w:hint="eastAsia"/>
                <w:sz w:val="18"/>
              </w:rPr>
              <w:t>步数</w:t>
            </w:r>
          </w:p>
        </w:tc>
        <w:tc>
          <w:tcPr>
            <w:tcW w:w="645" w:type="pct"/>
            <w:tcBorders>
              <w:bottom w:val="single" w:color="000000" w:sz="12" w:space="0"/>
              <w:tl2br w:val="nil"/>
              <w:tr2bl w:val="nil"/>
            </w:tcBorders>
          </w:tcPr>
          <w:p w14:paraId="2EE0EA52">
            <w:pPr>
              <w:ind w:firstLine="0" w:firstLineChars="0"/>
              <w:jc w:val="center"/>
              <w:rPr>
                <w:sz w:val="18"/>
              </w:rPr>
            </w:pPr>
            <w:r>
              <w:rPr>
                <w:rFonts w:hint="eastAsia"/>
                <w:sz w:val="18"/>
              </w:rPr>
              <w:t>延迟 (ms)</w:t>
            </w:r>
          </w:p>
        </w:tc>
        <w:tc>
          <w:tcPr>
            <w:tcW w:w="584" w:type="pct"/>
            <w:tcBorders>
              <w:bottom w:val="single" w:color="000000" w:sz="12" w:space="0"/>
              <w:tl2br w:val="nil"/>
              <w:tr2bl w:val="nil"/>
            </w:tcBorders>
          </w:tcPr>
          <w:p w14:paraId="058A0929">
            <w:pPr>
              <w:ind w:firstLine="0" w:firstLineChars="0"/>
              <w:jc w:val="center"/>
              <w:rPr>
                <w:sz w:val="18"/>
              </w:rPr>
            </w:pPr>
            <w:r>
              <w:rPr>
                <w:rFonts w:hint="eastAsia"/>
                <w:sz w:val="18"/>
              </w:rPr>
              <w:t>加速比</w:t>
            </w:r>
          </w:p>
        </w:tc>
        <w:tc>
          <w:tcPr>
            <w:tcW w:w="552" w:type="pct"/>
            <w:tcBorders>
              <w:bottom w:val="single" w:color="000000" w:sz="12" w:space="0"/>
              <w:tl2br w:val="nil"/>
              <w:tr2bl w:val="nil"/>
            </w:tcBorders>
          </w:tcPr>
          <w:p w14:paraId="1B8E144E">
            <w:pPr>
              <w:ind w:firstLine="0" w:firstLineChars="0"/>
              <w:jc w:val="center"/>
              <w:rPr>
                <w:sz w:val="18"/>
              </w:rPr>
            </w:pPr>
            <w:r>
              <w:rPr>
                <w:rFonts w:hint="eastAsia"/>
                <w:sz w:val="18"/>
              </w:rPr>
              <w:t>Char Acc ↑</w:t>
            </w:r>
          </w:p>
        </w:tc>
        <w:tc>
          <w:tcPr>
            <w:tcW w:w="586" w:type="pct"/>
            <w:tcBorders>
              <w:bottom w:val="single" w:color="000000" w:sz="12" w:space="0"/>
              <w:tl2br w:val="nil"/>
              <w:tr2bl w:val="nil"/>
            </w:tcBorders>
          </w:tcPr>
          <w:p w14:paraId="34ADC6D5">
            <w:pPr>
              <w:ind w:firstLine="0" w:firstLineChars="0"/>
              <w:jc w:val="center"/>
              <w:rPr>
                <w:sz w:val="18"/>
              </w:rPr>
            </w:pPr>
            <w:r>
              <w:rPr>
                <w:rFonts w:hint="eastAsia"/>
                <w:sz w:val="18"/>
              </w:rPr>
              <w:t>Word Acc ↑</w:t>
            </w:r>
          </w:p>
        </w:tc>
        <w:tc>
          <w:tcPr>
            <w:tcW w:w="552" w:type="pct"/>
            <w:tcBorders>
              <w:bottom w:val="single" w:color="000000" w:sz="12" w:space="0"/>
              <w:tl2br w:val="nil"/>
              <w:tr2bl w:val="nil"/>
            </w:tcBorders>
          </w:tcPr>
          <w:p w14:paraId="09B1B2B2">
            <w:pPr>
              <w:ind w:firstLine="0" w:firstLineChars="0"/>
              <w:jc w:val="center"/>
              <w:rPr>
                <w:sz w:val="18"/>
              </w:rPr>
            </w:pPr>
            <w:r>
              <w:rPr>
                <w:rFonts w:hint="eastAsia"/>
                <w:sz w:val="18"/>
              </w:rPr>
              <w:t>CER ↓</w:t>
            </w:r>
          </w:p>
        </w:tc>
        <w:tc>
          <w:tcPr>
            <w:tcW w:w="380" w:type="pct"/>
            <w:tcBorders>
              <w:bottom w:val="single" w:color="000000" w:sz="12" w:space="0"/>
              <w:tl2br w:val="nil"/>
              <w:tr2bl w:val="nil"/>
            </w:tcBorders>
          </w:tcPr>
          <w:p w14:paraId="01211DED">
            <w:pPr>
              <w:ind w:firstLine="0" w:firstLineChars="0"/>
              <w:jc w:val="center"/>
              <w:rPr>
                <w:sz w:val="18"/>
              </w:rPr>
            </w:pPr>
            <w:r>
              <w:rPr>
                <w:rFonts w:hint="eastAsia"/>
                <w:sz w:val="18"/>
              </w:rPr>
              <w:t>FID ↓</w:t>
            </w:r>
          </w:p>
        </w:tc>
      </w:tr>
      <w:tr w14:paraId="5259E8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490" w:hRule="atLeast"/>
          <w:jc w:val="center"/>
        </w:trPr>
        <w:tc>
          <w:tcPr>
            <w:tcW w:w="1442" w:type="pct"/>
            <w:tcBorders>
              <w:top w:val="single" w:color="000000" w:sz="12" w:space="0"/>
              <w:tl2br w:val="nil"/>
              <w:tr2bl w:val="nil"/>
            </w:tcBorders>
          </w:tcPr>
          <w:p w14:paraId="1ABB4A47">
            <w:pPr>
              <w:ind w:firstLine="0" w:firstLineChars="0"/>
              <w:jc w:val="center"/>
              <w:rPr>
                <w:sz w:val="18"/>
              </w:rPr>
            </w:pPr>
            <w:r>
              <w:rPr>
                <w:rFonts w:hint="eastAsia"/>
                <w:sz w:val="18"/>
              </w:rPr>
              <w:t>AnyText2 (Teacher)</w:t>
            </w:r>
          </w:p>
        </w:tc>
        <w:tc>
          <w:tcPr>
            <w:tcW w:w="256" w:type="pct"/>
            <w:tcBorders>
              <w:top w:val="single" w:color="000000" w:sz="12" w:space="0"/>
              <w:tl2br w:val="nil"/>
              <w:tr2bl w:val="nil"/>
            </w:tcBorders>
          </w:tcPr>
          <w:p w14:paraId="1E1D4F73">
            <w:pPr>
              <w:ind w:firstLine="0" w:firstLineChars="0"/>
              <w:jc w:val="center"/>
              <w:rPr>
                <w:sz w:val="18"/>
              </w:rPr>
            </w:pPr>
            <w:r>
              <w:rPr>
                <w:rFonts w:hint="eastAsia"/>
                <w:sz w:val="18"/>
              </w:rPr>
              <w:t>50</w:t>
            </w:r>
          </w:p>
        </w:tc>
        <w:tc>
          <w:tcPr>
            <w:tcW w:w="645" w:type="pct"/>
            <w:tcBorders>
              <w:top w:val="single" w:color="000000" w:sz="12" w:space="0"/>
              <w:tl2br w:val="nil"/>
              <w:tr2bl w:val="nil"/>
            </w:tcBorders>
          </w:tcPr>
          <w:p w14:paraId="657DB775">
            <w:pPr>
              <w:ind w:firstLine="0" w:firstLineChars="0"/>
              <w:jc w:val="center"/>
              <w:rPr>
                <w:sz w:val="18"/>
              </w:rPr>
            </w:pPr>
            <w:r>
              <w:rPr>
                <w:rFonts w:hint="eastAsia"/>
                <w:sz w:val="18"/>
              </w:rPr>
              <w:t>~10200</w:t>
            </w:r>
          </w:p>
        </w:tc>
        <w:tc>
          <w:tcPr>
            <w:tcW w:w="584" w:type="pct"/>
            <w:tcBorders>
              <w:top w:val="single" w:color="000000" w:sz="12" w:space="0"/>
              <w:tl2br w:val="nil"/>
              <w:tr2bl w:val="nil"/>
            </w:tcBorders>
          </w:tcPr>
          <w:p w14:paraId="22F3E4B0">
            <w:pPr>
              <w:ind w:firstLine="0" w:firstLineChars="0"/>
              <w:jc w:val="center"/>
              <w:rPr>
                <w:sz w:val="18"/>
              </w:rPr>
            </w:pPr>
            <w:r>
              <w:rPr>
                <w:rFonts w:hint="eastAsia"/>
                <w:sz w:val="18"/>
              </w:rPr>
              <w:t>1.0×</w:t>
            </w:r>
          </w:p>
        </w:tc>
        <w:tc>
          <w:tcPr>
            <w:tcW w:w="552" w:type="pct"/>
            <w:tcBorders>
              <w:top w:val="single" w:color="000000" w:sz="12" w:space="0"/>
              <w:tl2br w:val="nil"/>
              <w:tr2bl w:val="nil"/>
            </w:tcBorders>
          </w:tcPr>
          <w:p w14:paraId="0198FDF9">
            <w:pPr>
              <w:ind w:firstLine="0" w:firstLineChars="0"/>
              <w:jc w:val="center"/>
              <w:rPr>
                <w:sz w:val="18"/>
              </w:rPr>
            </w:pPr>
            <w:r>
              <w:rPr>
                <w:rFonts w:hint="eastAsia"/>
                <w:sz w:val="18"/>
              </w:rPr>
              <w:t>95.7%</w:t>
            </w:r>
          </w:p>
        </w:tc>
        <w:tc>
          <w:tcPr>
            <w:tcW w:w="586" w:type="pct"/>
            <w:tcBorders>
              <w:top w:val="single" w:color="000000" w:sz="12" w:space="0"/>
              <w:tl2br w:val="nil"/>
              <w:tr2bl w:val="nil"/>
            </w:tcBorders>
          </w:tcPr>
          <w:p w14:paraId="6553D840">
            <w:pPr>
              <w:ind w:firstLine="0" w:firstLineChars="0"/>
              <w:jc w:val="center"/>
              <w:rPr>
                <w:sz w:val="18"/>
              </w:rPr>
            </w:pPr>
            <w:r>
              <w:rPr>
                <w:rFonts w:hint="eastAsia"/>
                <w:sz w:val="18"/>
              </w:rPr>
              <w:t>91.2%</w:t>
            </w:r>
          </w:p>
        </w:tc>
        <w:tc>
          <w:tcPr>
            <w:tcW w:w="552" w:type="pct"/>
            <w:tcBorders>
              <w:top w:val="single" w:color="000000" w:sz="12" w:space="0"/>
              <w:tl2br w:val="nil"/>
              <w:tr2bl w:val="nil"/>
            </w:tcBorders>
          </w:tcPr>
          <w:p w14:paraId="5C9C0231">
            <w:pPr>
              <w:ind w:firstLine="0" w:firstLineChars="0"/>
              <w:jc w:val="center"/>
              <w:rPr>
                <w:sz w:val="18"/>
              </w:rPr>
            </w:pPr>
            <w:r>
              <w:rPr>
                <w:rFonts w:hint="eastAsia"/>
                <w:sz w:val="18"/>
              </w:rPr>
              <w:t>4.3%</w:t>
            </w:r>
          </w:p>
        </w:tc>
        <w:tc>
          <w:tcPr>
            <w:tcW w:w="380" w:type="pct"/>
            <w:tcBorders>
              <w:top w:val="single" w:color="000000" w:sz="12" w:space="0"/>
              <w:tl2br w:val="nil"/>
              <w:tr2bl w:val="nil"/>
            </w:tcBorders>
          </w:tcPr>
          <w:p w14:paraId="680CE92A">
            <w:pPr>
              <w:ind w:firstLine="0" w:firstLineChars="0"/>
              <w:jc w:val="center"/>
              <w:rPr>
                <w:sz w:val="18"/>
              </w:rPr>
            </w:pPr>
            <w:r>
              <w:rPr>
                <w:rFonts w:hint="eastAsia"/>
                <w:sz w:val="18"/>
              </w:rPr>
              <w:t>10.9</w:t>
            </w:r>
          </w:p>
        </w:tc>
      </w:tr>
      <w:tr w14:paraId="762AA9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2" w:hRule="atLeast"/>
          <w:jc w:val="center"/>
        </w:trPr>
        <w:tc>
          <w:tcPr>
            <w:tcW w:w="1442" w:type="pct"/>
            <w:tcBorders>
              <w:tl2br w:val="nil"/>
              <w:tr2bl w:val="nil"/>
            </w:tcBorders>
          </w:tcPr>
          <w:p w14:paraId="5E39FE3F">
            <w:pPr>
              <w:ind w:firstLine="0" w:firstLineChars="0"/>
              <w:jc w:val="center"/>
              <w:rPr>
                <w:sz w:val="18"/>
              </w:rPr>
            </w:pPr>
            <w:r>
              <w:rPr>
                <w:rFonts w:hint="eastAsia"/>
                <w:sz w:val="18"/>
              </w:rPr>
              <w:t>DDIM-4step</w:t>
            </w:r>
          </w:p>
        </w:tc>
        <w:tc>
          <w:tcPr>
            <w:tcW w:w="256" w:type="pct"/>
            <w:tcBorders>
              <w:tl2br w:val="nil"/>
              <w:tr2bl w:val="nil"/>
            </w:tcBorders>
          </w:tcPr>
          <w:p w14:paraId="71DB9F1C">
            <w:pPr>
              <w:ind w:firstLine="0" w:firstLineChars="0"/>
              <w:jc w:val="center"/>
              <w:rPr>
                <w:sz w:val="18"/>
              </w:rPr>
            </w:pPr>
            <w:r>
              <w:rPr>
                <w:rFonts w:hint="eastAsia"/>
                <w:sz w:val="18"/>
              </w:rPr>
              <w:t>4</w:t>
            </w:r>
          </w:p>
        </w:tc>
        <w:tc>
          <w:tcPr>
            <w:tcW w:w="645" w:type="pct"/>
            <w:tcBorders>
              <w:tl2br w:val="nil"/>
              <w:tr2bl w:val="nil"/>
            </w:tcBorders>
          </w:tcPr>
          <w:p w14:paraId="1173E86A">
            <w:pPr>
              <w:ind w:firstLine="0" w:firstLineChars="0"/>
              <w:jc w:val="center"/>
              <w:rPr>
                <w:sz w:val="18"/>
              </w:rPr>
            </w:pPr>
            <w:r>
              <w:rPr>
                <w:rFonts w:hint="eastAsia"/>
                <w:sz w:val="18"/>
              </w:rPr>
              <w:t>~816</w:t>
            </w:r>
          </w:p>
        </w:tc>
        <w:tc>
          <w:tcPr>
            <w:tcW w:w="584" w:type="pct"/>
            <w:tcBorders>
              <w:tl2br w:val="nil"/>
              <w:tr2bl w:val="nil"/>
            </w:tcBorders>
          </w:tcPr>
          <w:p w14:paraId="26A7EC12">
            <w:pPr>
              <w:ind w:firstLine="0" w:firstLineChars="0"/>
              <w:jc w:val="center"/>
              <w:rPr>
                <w:sz w:val="18"/>
              </w:rPr>
            </w:pPr>
            <w:r>
              <w:rPr>
                <w:rFonts w:hint="eastAsia"/>
                <w:sz w:val="18"/>
              </w:rPr>
              <w:t>12.5×</w:t>
            </w:r>
          </w:p>
        </w:tc>
        <w:tc>
          <w:tcPr>
            <w:tcW w:w="552" w:type="pct"/>
            <w:tcBorders>
              <w:tl2br w:val="nil"/>
              <w:tr2bl w:val="nil"/>
            </w:tcBorders>
          </w:tcPr>
          <w:p w14:paraId="131845E9">
            <w:pPr>
              <w:ind w:firstLine="0" w:firstLineChars="0"/>
              <w:jc w:val="center"/>
              <w:rPr>
                <w:sz w:val="18"/>
              </w:rPr>
            </w:pPr>
            <w:r>
              <w:rPr>
                <w:rFonts w:hint="eastAsia"/>
                <w:sz w:val="18"/>
              </w:rPr>
              <w:t>62.1%</w:t>
            </w:r>
          </w:p>
        </w:tc>
        <w:tc>
          <w:tcPr>
            <w:tcW w:w="586" w:type="pct"/>
            <w:tcBorders>
              <w:tl2br w:val="nil"/>
              <w:tr2bl w:val="nil"/>
            </w:tcBorders>
          </w:tcPr>
          <w:p w14:paraId="253EA72E">
            <w:pPr>
              <w:ind w:firstLine="0" w:firstLineChars="0"/>
              <w:jc w:val="center"/>
              <w:rPr>
                <w:sz w:val="18"/>
              </w:rPr>
            </w:pPr>
            <w:r>
              <w:rPr>
                <w:rFonts w:hint="eastAsia"/>
                <w:sz w:val="18"/>
              </w:rPr>
              <w:t>47.3%</w:t>
            </w:r>
          </w:p>
        </w:tc>
        <w:tc>
          <w:tcPr>
            <w:tcW w:w="552" w:type="pct"/>
            <w:tcBorders>
              <w:tl2br w:val="nil"/>
              <w:tr2bl w:val="nil"/>
            </w:tcBorders>
          </w:tcPr>
          <w:p w14:paraId="6FA057A4">
            <w:pPr>
              <w:ind w:firstLine="0" w:firstLineChars="0"/>
              <w:jc w:val="center"/>
              <w:rPr>
                <w:sz w:val="18"/>
              </w:rPr>
            </w:pPr>
            <w:r>
              <w:rPr>
                <w:rFonts w:hint="eastAsia"/>
                <w:sz w:val="18"/>
              </w:rPr>
              <w:t>37.9%</w:t>
            </w:r>
          </w:p>
        </w:tc>
        <w:tc>
          <w:tcPr>
            <w:tcW w:w="380" w:type="pct"/>
            <w:tcBorders>
              <w:tl2br w:val="nil"/>
              <w:tr2bl w:val="nil"/>
            </w:tcBorders>
          </w:tcPr>
          <w:p w14:paraId="754F16CD">
            <w:pPr>
              <w:ind w:firstLine="0" w:firstLineChars="0"/>
              <w:jc w:val="center"/>
              <w:rPr>
                <w:sz w:val="18"/>
              </w:rPr>
            </w:pPr>
            <w:r>
              <w:rPr>
                <w:rFonts w:hint="eastAsia"/>
                <w:sz w:val="18"/>
              </w:rPr>
              <w:t>47.8</w:t>
            </w:r>
          </w:p>
        </w:tc>
      </w:tr>
      <w:tr w14:paraId="695E70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2" w:hRule="atLeast"/>
          <w:jc w:val="center"/>
        </w:trPr>
        <w:tc>
          <w:tcPr>
            <w:tcW w:w="1442" w:type="pct"/>
            <w:tcBorders>
              <w:tl2br w:val="nil"/>
              <w:tr2bl w:val="nil"/>
            </w:tcBorders>
          </w:tcPr>
          <w:p w14:paraId="5DC072D6">
            <w:pPr>
              <w:ind w:firstLine="0" w:firstLineChars="0"/>
              <w:jc w:val="center"/>
              <w:rPr>
                <w:sz w:val="18"/>
              </w:rPr>
            </w:pPr>
            <w:r>
              <w:rPr>
                <w:rFonts w:hint="eastAsia"/>
                <w:sz w:val="18"/>
              </w:rPr>
              <w:t>DDIM-10step</w:t>
            </w:r>
          </w:p>
        </w:tc>
        <w:tc>
          <w:tcPr>
            <w:tcW w:w="256" w:type="pct"/>
            <w:tcBorders>
              <w:tl2br w:val="nil"/>
              <w:tr2bl w:val="nil"/>
            </w:tcBorders>
          </w:tcPr>
          <w:p w14:paraId="3B026E75">
            <w:pPr>
              <w:ind w:firstLine="0" w:firstLineChars="0"/>
              <w:jc w:val="center"/>
              <w:rPr>
                <w:sz w:val="18"/>
              </w:rPr>
            </w:pPr>
            <w:r>
              <w:rPr>
                <w:rFonts w:hint="eastAsia"/>
                <w:sz w:val="18"/>
              </w:rPr>
              <w:t>10</w:t>
            </w:r>
          </w:p>
        </w:tc>
        <w:tc>
          <w:tcPr>
            <w:tcW w:w="645" w:type="pct"/>
            <w:tcBorders>
              <w:tl2br w:val="nil"/>
              <w:tr2bl w:val="nil"/>
            </w:tcBorders>
          </w:tcPr>
          <w:p w14:paraId="67545BDD">
            <w:pPr>
              <w:ind w:firstLine="0" w:firstLineChars="0"/>
              <w:jc w:val="center"/>
              <w:rPr>
                <w:sz w:val="18"/>
              </w:rPr>
            </w:pPr>
            <w:r>
              <w:rPr>
                <w:rFonts w:hint="eastAsia"/>
                <w:sz w:val="18"/>
              </w:rPr>
              <w:t>~2040</w:t>
            </w:r>
          </w:p>
        </w:tc>
        <w:tc>
          <w:tcPr>
            <w:tcW w:w="584" w:type="pct"/>
            <w:tcBorders>
              <w:tl2br w:val="nil"/>
              <w:tr2bl w:val="nil"/>
            </w:tcBorders>
          </w:tcPr>
          <w:p w14:paraId="2A551390">
            <w:pPr>
              <w:ind w:firstLine="0" w:firstLineChars="0"/>
              <w:jc w:val="center"/>
              <w:rPr>
                <w:sz w:val="18"/>
              </w:rPr>
            </w:pPr>
            <w:r>
              <w:rPr>
                <w:rFonts w:hint="eastAsia"/>
                <w:sz w:val="18"/>
              </w:rPr>
              <w:t>5.0×</w:t>
            </w:r>
          </w:p>
        </w:tc>
        <w:tc>
          <w:tcPr>
            <w:tcW w:w="552" w:type="pct"/>
            <w:tcBorders>
              <w:tl2br w:val="nil"/>
              <w:tr2bl w:val="nil"/>
            </w:tcBorders>
          </w:tcPr>
          <w:p w14:paraId="1CDC52D5">
            <w:pPr>
              <w:ind w:firstLine="0" w:firstLineChars="0"/>
              <w:jc w:val="center"/>
              <w:rPr>
                <w:sz w:val="18"/>
              </w:rPr>
            </w:pPr>
            <w:r>
              <w:rPr>
                <w:rFonts w:hint="eastAsia"/>
                <w:sz w:val="18"/>
              </w:rPr>
              <w:t>74.8%</w:t>
            </w:r>
          </w:p>
        </w:tc>
        <w:tc>
          <w:tcPr>
            <w:tcW w:w="586" w:type="pct"/>
            <w:tcBorders>
              <w:tl2br w:val="nil"/>
              <w:tr2bl w:val="nil"/>
            </w:tcBorders>
          </w:tcPr>
          <w:p w14:paraId="4B626ED9">
            <w:pPr>
              <w:ind w:firstLine="0" w:firstLineChars="0"/>
              <w:jc w:val="center"/>
              <w:rPr>
                <w:sz w:val="18"/>
              </w:rPr>
            </w:pPr>
            <w:r>
              <w:rPr>
                <w:rFonts w:hint="eastAsia"/>
                <w:sz w:val="18"/>
              </w:rPr>
              <w:t>62.1%</w:t>
            </w:r>
          </w:p>
        </w:tc>
        <w:tc>
          <w:tcPr>
            <w:tcW w:w="552" w:type="pct"/>
            <w:tcBorders>
              <w:tl2br w:val="nil"/>
              <w:tr2bl w:val="nil"/>
            </w:tcBorders>
          </w:tcPr>
          <w:p w14:paraId="1A4360E3">
            <w:pPr>
              <w:ind w:firstLine="0" w:firstLineChars="0"/>
              <w:jc w:val="center"/>
              <w:rPr>
                <w:sz w:val="18"/>
              </w:rPr>
            </w:pPr>
            <w:r>
              <w:rPr>
                <w:rFonts w:hint="eastAsia"/>
                <w:sz w:val="18"/>
              </w:rPr>
              <w:t>25.2%</w:t>
            </w:r>
          </w:p>
        </w:tc>
        <w:tc>
          <w:tcPr>
            <w:tcW w:w="380" w:type="pct"/>
            <w:tcBorders>
              <w:tl2br w:val="nil"/>
              <w:tr2bl w:val="nil"/>
            </w:tcBorders>
          </w:tcPr>
          <w:p w14:paraId="25E8A714">
            <w:pPr>
              <w:ind w:firstLine="0" w:firstLineChars="0"/>
              <w:jc w:val="center"/>
              <w:rPr>
                <w:sz w:val="18"/>
              </w:rPr>
            </w:pPr>
            <w:r>
              <w:rPr>
                <w:rFonts w:hint="eastAsia"/>
                <w:sz w:val="18"/>
              </w:rPr>
              <w:t>31.2</w:t>
            </w:r>
          </w:p>
        </w:tc>
      </w:tr>
      <w:tr w14:paraId="6CE99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2" w:hRule="atLeast"/>
          <w:jc w:val="center"/>
        </w:trPr>
        <w:tc>
          <w:tcPr>
            <w:tcW w:w="1442" w:type="pct"/>
            <w:tcBorders>
              <w:tl2br w:val="nil"/>
              <w:tr2bl w:val="nil"/>
            </w:tcBorders>
          </w:tcPr>
          <w:p w14:paraId="66FF5402">
            <w:pPr>
              <w:ind w:firstLine="0" w:firstLineChars="0"/>
              <w:jc w:val="center"/>
              <w:rPr>
                <w:sz w:val="18"/>
              </w:rPr>
            </w:pPr>
            <w:r>
              <w:rPr>
                <w:rFonts w:hint="eastAsia"/>
                <w:sz w:val="18"/>
              </w:rPr>
              <w:t>DPM-Solver-10</w:t>
            </w:r>
          </w:p>
        </w:tc>
        <w:tc>
          <w:tcPr>
            <w:tcW w:w="256" w:type="pct"/>
            <w:tcBorders>
              <w:tl2br w:val="nil"/>
              <w:tr2bl w:val="nil"/>
            </w:tcBorders>
          </w:tcPr>
          <w:p w14:paraId="6C46C443">
            <w:pPr>
              <w:ind w:firstLine="0" w:firstLineChars="0"/>
              <w:jc w:val="center"/>
              <w:rPr>
                <w:sz w:val="18"/>
              </w:rPr>
            </w:pPr>
            <w:r>
              <w:rPr>
                <w:rFonts w:hint="eastAsia"/>
                <w:sz w:val="18"/>
              </w:rPr>
              <w:t>10</w:t>
            </w:r>
          </w:p>
        </w:tc>
        <w:tc>
          <w:tcPr>
            <w:tcW w:w="645" w:type="pct"/>
            <w:tcBorders>
              <w:tl2br w:val="nil"/>
              <w:tr2bl w:val="nil"/>
            </w:tcBorders>
          </w:tcPr>
          <w:p w14:paraId="71E441FC">
            <w:pPr>
              <w:ind w:firstLine="0" w:firstLineChars="0"/>
              <w:jc w:val="center"/>
              <w:rPr>
                <w:sz w:val="18"/>
              </w:rPr>
            </w:pPr>
            <w:r>
              <w:rPr>
                <w:rFonts w:hint="eastAsia"/>
                <w:sz w:val="18"/>
              </w:rPr>
              <w:t>~912</w:t>
            </w:r>
          </w:p>
        </w:tc>
        <w:tc>
          <w:tcPr>
            <w:tcW w:w="584" w:type="pct"/>
            <w:tcBorders>
              <w:tl2br w:val="nil"/>
              <w:tr2bl w:val="nil"/>
            </w:tcBorders>
          </w:tcPr>
          <w:p w14:paraId="5CC4664B">
            <w:pPr>
              <w:ind w:firstLine="0" w:firstLineChars="0"/>
              <w:jc w:val="center"/>
              <w:rPr>
                <w:sz w:val="18"/>
              </w:rPr>
            </w:pPr>
            <w:r>
              <w:rPr>
                <w:rFonts w:hint="eastAsia"/>
                <w:sz w:val="18"/>
              </w:rPr>
              <w:t>11.2×</w:t>
            </w:r>
          </w:p>
        </w:tc>
        <w:tc>
          <w:tcPr>
            <w:tcW w:w="552" w:type="pct"/>
            <w:tcBorders>
              <w:tl2br w:val="nil"/>
              <w:tr2bl w:val="nil"/>
            </w:tcBorders>
          </w:tcPr>
          <w:p w14:paraId="75952DEC">
            <w:pPr>
              <w:ind w:firstLine="0" w:firstLineChars="0"/>
              <w:jc w:val="center"/>
              <w:rPr>
                <w:sz w:val="18"/>
              </w:rPr>
            </w:pPr>
            <w:r>
              <w:rPr>
                <w:rFonts w:hint="eastAsia"/>
                <w:sz w:val="18"/>
              </w:rPr>
              <w:t>76.9%</w:t>
            </w:r>
          </w:p>
        </w:tc>
        <w:tc>
          <w:tcPr>
            <w:tcW w:w="586" w:type="pct"/>
            <w:tcBorders>
              <w:tl2br w:val="nil"/>
              <w:tr2bl w:val="nil"/>
            </w:tcBorders>
          </w:tcPr>
          <w:p w14:paraId="770FBF67">
            <w:pPr>
              <w:ind w:firstLine="0" w:firstLineChars="0"/>
              <w:jc w:val="center"/>
              <w:rPr>
                <w:sz w:val="18"/>
              </w:rPr>
            </w:pPr>
            <w:r>
              <w:rPr>
                <w:rFonts w:hint="eastAsia"/>
                <w:sz w:val="18"/>
              </w:rPr>
              <w:t>65.4%</w:t>
            </w:r>
          </w:p>
        </w:tc>
        <w:tc>
          <w:tcPr>
            <w:tcW w:w="552" w:type="pct"/>
            <w:tcBorders>
              <w:tl2br w:val="nil"/>
              <w:tr2bl w:val="nil"/>
            </w:tcBorders>
          </w:tcPr>
          <w:p w14:paraId="322EB83F">
            <w:pPr>
              <w:ind w:firstLine="0" w:firstLineChars="0"/>
              <w:jc w:val="center"/>
              <w:rPr>
                <w:sz w:val="18"/>
              </w:rPr>
            </w:pPr>
            <w:r>
              <w:rPr>
                <w:rFonts w:hint="eastAsia"/>
                <w:sz w:val="18"/>
              </w:rPr>
              <w:t>23.1%</w:t>
            </w:r>
          </w:p>
        </w:tc>
        <w:tc>
          <w:tcPr>
            <w:tcW w:w="380" w:type="pct"/>
            <w:tcBorders>
              <w:tl2br w:val="nil"/>
              <w:tr2bl w:val="nil"/>
            </w:tcBorders>
          </w:tcPr>
          <w:p w14:paraId="455F1D08">
            <w:pPr>
              <w:ind w:firstLine="0" w:firstLineChars="0"/>
              <w:jc w:val="center"/>
              <w:rPr>
                <w:sz w:val="18"/>
              </w:rPr>
            </w:pPr>
            <w:r>
              <w:rPr>
                <w:rFonts w:hint="eastAsia"/>
                <w:sz w:val="18"/>
              </w:rPr>
              <w:t>28.7</w:t>
            </w:r>
          </w:p>
        </w:tc>
      </w:tr>
      <w:tr w14:paraId="4926C1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2" w:hRule="atLeast"/>
          <w:jc w:val="center"/>
        </w:trPr>
        <w:tc>
          <w:tcPr>
            <w:tcW w:w="1442" w:type="pct"/>
            <w:tcBorders>
              <w:tl2br w:val="nil"/>
              <w:tr2bl w:val="nil"/>
            </w:tcBorders>
          </w:tcPr>
          <w:p w14:paraId="5808B339">
            <w:pPr>
              <w:ind w:firstLine="0" w:firstLineChars="0"/>
              <w:jc w:val="center"/>
              <w:rPr>
                <w:sz w:val="18"/>
              </w:rPr>
            </w:pPr>
            <w:r>
              <w:rPr>
                <w:rFonts w:hint="eastAsia"/>
                <w:sz w:val="18"/>
              </w:rPr>
              <w:t>DPM-Solver-15</w:t>
            </w:r>
          </w:p>
        </w:tc>
        <w:tc>
          <w:tcPr>
            <w:tcW w:w="256" w:type="pct"/>
            <w:tcBorders>
              <w:tl2br w:val="nil"/>
              <w:tr2bl w:val="nil"/>
            </w:tcBorders>
          </w:tcPr>
          <w:p w14:paraId="60D069E5">
            <w:pPr>
              <w:ind w:firstLine="0" w:firstLineChars="0"/>
              <w:jc w:val="center"/>
              <w:rPr>
                <w:sz w:val="18"/>
              </w:rPr>
            </w:pPr>
            <w:r>
              <w:rPr>
                <w:rFonts w:hint="eastAsia"/>
                <w:sz w:val="18"/>
              </w:rPr>
              <w:t>15</w:t>
            </w:r>
          </w:p>
        </w:tc>
        <w:tc>
          <w:tcPr>
            <w:tcW w:w="645" w:type="pct"/>
            <w:tcBorders>
              <w:tl2br w:val="nil"/>
              <w:tr2bl w:val="nil"/>
            </w:tcBorders>
          </w:tcPr>
          <w:p w14:paraId="367B6E61">
            <w:pPr>
              <w:ind w:firstLine="0" w:firstLineChars="0"/>
              <w:jc w:val="center"/>
              <w:rPr>
                <w:sz w:val="18"/>
              </w:rPr>
            </w:pPr>
            <w:r>
              <w:rPr>
                <w:rFonts w:hint="eastAsia"/>
                <w:sz w:val="18"/>
              </w:rPr>
              <w:t>~1368</w:t>
            </w:r>
          </w:p>
        </w:tc>
        <w:tc>
          <w:tcPr>
            <w:tcW w:w="584" w:type="pct"/>
            <w:tcBorders>
              <w:tl2br w:val="nil"/>
              <w:tr2bl w:val="nil"/>
            </w:tcBorders>
          </w:tcPr>
          <w:p w14:paraId="38464034">
            <w:pPr>
              <w:ind w:firstLine="0" w:firstLineChars="0"/>
              <w:jc w:val="center"/>
              <w:rPr>
                <w:sz w:val="18"/>
              </w:rPr>
            </w:pPr>
            <w:r>
              <w:rPr>
                <w:rFonts w:hint="eastAsia"/>
                <w:sz w:val="18"/>
              </w:rPr>
              <w:t>7.5×</w:t>
            </w:r>
          </w:p>
        </w:tc>
        <w:tc>
          <w:tcPr>
            <w:tcW w:w="552" w:type="pct"/>
            <w:tcBorders>
              <w:tl2br w:val="nil"/>
              <w:tr2bl w:val="nil"/>
            </w:tcBorders>
          </w:tcPr>
          <w:p w14:paraId="7A19D0DF">
            <w:pPr>
              <w:ind w:firstLine="0" w:firstLineChars="0"/>
              <w:jc w:val="center"/>
              <w:rPr>
                <w:sz w:val="18"/>
              </w:rPr>
            </w:pPr>
            <w:r>
              <w:rPr>
                <w:rFonts w:hint="eastAsia"/>
                <w:sz w:val="18"/>
              </w:rPr>
              <w:t>82.1%</w:t>
            </w:r>
          </w:p>
        </w:tc>
        <w:tc>
          <w:tcPr>
            <w:tcW w:w="586" w:type="pct"/>
            <w:tcBorders>
              <w:tl2br w:val="nil"/>
              <w:tr2bl w:val="nil"/>
            </w:tcBorders>
          </w:tcPr>
          <w:p w14:paraId="4B6EEDE0">
            <w:pPr>
              <w:ind w:firstLine="0" w:firstLineChars="0"/>
              <w:jc w:val="center"/>
              <w:rPr>
                <w:sz w:val="18"/>
              </w:rPr>
            </w:pPr>
            <w:r>
              <w:rPr>
                <w:rFonts w:hint="eastAsia"/>
                <w:sz w:val="18"/>
              </w:rPr>
              <w:t>71.8%</w:t>
            </w:r>
          </w:p>
        </w:tc>
        <w:tc>
          <w:tcPr>
            <w:tcW w:w="552" w:type="pct"/>
            <w:tcBorders>
              <w:tl2br w:val="nil"/>
              <w:tr2bl w:val="nil"/>
            </w:tcBorders>
          </w:tcPr>
          <w:p w14:paraId="79A895BE">
            <w:pPr>
              <w:ind w:firstLine="0" w:firstLineChars="0"/>
              <w:jc w:val="center"/>
              <w:rPr>
                <w:sz w:val="18"/>
              </w:rPr>
            </w:pPr>
            <w:r>
              <w:rPr>
                <w:rFonts w:hint="eastAsia"/>
                <w:sz w:val="18"/>
              </w:rPr>
              <w:t>17.9%</w:t>
            </w:r>
          </w:p>
        </w:tc>
        <w:tc>
          <w:tcPr>
            <w:tcW w:w="380" w:type="pct"/>
            <w:tcBorders>
              <w:tl2br w:val="nil"/>
              <w:tr2bl w:val="nil"/>
            </w:tcBorders>
          </w:tcPr>
          <w:p w14:paraId="5385A564">
            <w:pPr>
              <w:ind w:firstLine="0" w:firstLineChars="0"/>
              <w:jc w:val="center"/>
              <w:rPr>
                <w:sz w:val="18"/>
              </w:rPr>
            </w:pPr>
            <w:r>
              <w:rPr>
                <w:rFonts w:hint="eastAsia"/>
                <w:sz w:val="18"/>
              </w:rPr>
              <w:t>22.3</w:t>
            </w:r>
          </w:p>
        </w:tc>
      </w:tr>
      <w:tr w14:paraId="6DD3D4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3" w:hRule="atLeast"/>
          <w:jc w:val="center"/>
        </w:trPr>
        <w:tc>
          <w:tcPr>
            <w:tcW w:w="1442" w:type="pct"/>
            <w:tcBorders>
              <w:tl2br w:val="nil"/>
              <w:tr2bl w:val="nil"/>
            </w:tcBorders>
          </w:tcPr>
          <w:p w14:paraId="5992E44C">
            <w:pPr>
              <w:ind w:firstLine="0" w:firstLineChars="0"/>
              <w:jc w:val="center"/>
              <w:rPr>
                <w:sz w:val="18"/>
              </w:rPr>
            </w:pPr>
            <w:r>
              <w:rPr>
                <w:rFonts w:hint="eastAsia"/>
                <w:sz w:val="18"/>
              </w:rPr>
              <w:t>LCM-baseline (no mask)</w:t>
            </w:r>
          </w:p>
        </w:tc>
        <w:tc>
          <w:tcPr>
            <w:tcW w:w="256" w:type="pct"/>
            <w:tcBorders>
              <w:tl2br w:val="nil"/>
              <w:tr2bl w:val="nil"/>
            </w:tcBorders>
          </w:tcPr>
          <w:p w14:paraId="734D2228">
            <w:pPr>
              <w:ind w:firstLine="0" w:firstLineChars="0"/>
              <w:jc w:val="center"/>
              <w:rPr>
                <w:sz w:val="18"/>
              </w:rPr>
            </w:pPr>
            <w:r>
              <w:rPr>
                <w:rFonts w:hint="eastAsia"/>
                <w:sz w:val="18"/>
              </w:rPr>
              <w:t>4</w:t>
            </w:r>
          </w:p>
        </w:tc>
        <w:tc>
          <w:tcPr>
            <w:tcW w:w="645" w:type="pct"/>
            <w:tcBorders>
              <w:tl2br w:val="nil"/>
              <w:tr2bl w:val="nil"/>
            </w:tcBorders>
          </w:tcPr>
          <w:p w14:paraId="71243D9B">
            <w:pPr>
              <w:ind w:firstLine="0" w:firstLineChars="0"/>
              <w:jc w:val="center"/>
              <w:rPr>
                <w:sz w:val="18"/>
              </w:rPr>
            </w:pPr>
            <w:r>
              <w:rPr>
                <w:rFonts w:hint="eastAsia"/>
                <w:sz w:val="18"/>
              </w:rPr>
              <w:t>~792</w:t>
            </w:r>
          </w:p>
        </w:tc>
        <w:tc>
          <w:tcPr>
            <w:tcW w:w="584" w:type="pct"/>
            <w:tcBorders>
              <w:tl2br w:val="nil"/>
              <w:tr2bl w:val="nil"/>
            </w:tcBorders>
          </w:tcPr>
          <w:p w14:paraId="165C64DD">
            <w:pPr>
              <w:ind w:firstLine="0" w:firstLineChars="0"/>
              <w:jc w:val="center"/>
              <w:rPr>
                <w:sz w:val="18"/>
              </w:rPr>
            </w:pPr>
            <w:r>
              <w:rPr>
                <w:rFonts w:hint="eastAsia"/>
                <w:sz w:val="18"/>
              </w:rPr>
              <w:t>12.9×</w:t>
            </w:r>
          </w:p>
        </w:tc>
        <w:tc>
          <w:tcPr>
            <w:tcW w:w="552" w:type="pct"/>
            <w:tcBorders>
              <w:tl2br w:val="nil"/>
              <w:tr2bl w:val="nil"/>
            </w:tcBorders>
          </w:tcPr>
          <w:p w14:paraId="71962802">
            <w:pPr>
              <w:ind w:firstLine="0" w:firstLineChars="0"/>
              <w:jc w:val="center"/>
              <w:rPr>
                <w:sz w:val="18"/>
              </w:rPr>
            </w:pPr>
            <w:r>
              <w:rPr>
                <w:rFonts w:hint="eastAsia"/>
                <w:sz w:val="18"/>
              </w:rPr>
              <w:t>78.7%</w:t>
            </w:r>
          </w:p>
        </w:tc>
        <w:tc>
          <w:tcPr>
            <w:tcW w:w="586" w:type="pct"/>
            <w:tcBorders>
              <w:tl2br w:val="nil"/>
              <w:tr2bl w:val="nil"/>
            </w:tcBorders>
          </w:tcPr>
          <w:p w14:paraId="2889B7A2">
            <w:pPr>
              <w:ind w:firstLine="0" w:firstLineChars="0"/>
              <w:jc w:val="center"/>
              <w:rPr>
                <w:sz w:val="18"/>
              </w:rPr>
            </w:pPr>
            <w:r>
              <w:rPr>
                <w:rFonts w:hint="eastAsia"/>
                <w:sz w:val="18"/>
              </w:rPr>
              <w:t>68.9%</w:t>
            </w:r>
          </w:p>
        </w:tc>
        <w:tc>
          <w:tcPr>
            <w:tcW w:w="552" w:type="pct"/>
            <w:tcBorders>
              <w:tl2br w:val="nil"/>
              <w:tr2bl w:val="nil"/>
            </w:tcBorders>
          </w:tcPr>
          <w:p w14:paraId="465692B3">
            <w:pPr>
              <w:ind w:firstLine="0" w:firstLineChars="0"/>
              <w:jc w:val="center"/>
              <w:rPr>
                <w:sz w:val="18"/>
              </w:rPr>
            </w:pPr>
            <w:r>
              <w:rPr>
                <w:rFonts w:hint="eastAsia"/>
                <w:sz w:val="18"/>
              </w:rPr>
              <w:t>21.3%</w:t>
            </w:r>
          </w:p>
        </w:tc>
        <w:tc>
          <w:tcPr>
            <w:tcW w:w="380" w:type="pct"/>
            <w:tcBorders>
              <w:tl2br w:val="nil"/>
              <w:tr2bl w:val="nil"/>
            </w:tcBorders>
          </w:tcPr>
          <w:p w14:paraId="0246B67F">
            <w:pPr>
              <w:ind w:firstLine="0" w:firstLineChars="0"/>
              <w:jc w:val="center"/>
              <w:rPr>
                <w:sz w:val="18"/>
              </w:rPr>
            </w:pPr>
            <w:r>
              <w:rPr>
                <w:rFonts w:hint="eastAsia"/>
                <w:sz w:val="18"/>
              </w:rPr>
              <w:t>24.1</w:t>
            </w:r>
          </w:p>
        </w:tc>
      </w:tr>
      <w:tr w14:paraId="443AC4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3" w:hRule="atLeast"/>
          <w:jc w:val="center"/>
        </w:trPr>
        <w:tc>
          <w:tcPr>
            <w:tcW w:w="1442" w:type="pct"/>
            <w:tcBorders>
              <w:tl2br w:val="nil"/>
              <w:tr2bl w:val="nil"/>
            </w:tcBorders>
          </w:tcPr>
          <w:p w14:paraId="729DF5BA">
            <w:pPr>
              <w:ind w:firstLine="0" w:firstLineChars="0"/>
              <w:jc w:val="center"/>
              <w:rPr>
                <w:sz w:val="18"/>
              </w:rPr>
            </w:pPr>
            <w:r>
              <w:rPr>
                <w:rFonts w:hint="eastAsia"/>
                <w:sz w:val="18"/>
              </w:rPr>
              <w:t>LCM-baseline (mask)</w:t>
            </w:r>
          </w:p>
        </w:tc>
        <w:tc>
          <w:tcPr>
            <w:tcW w:w="256" w:type="pct"/>
            <w:tcBorders>
              <w:tl2br w:val="nil"/>
              <w:tr2bl w:val="nil"/>
            </w:tcBorders>
          </w:tcPr>
          <w:p w14:paraId="30E8C400">
            <w:pPr>
              <w:ind w:firstLine="0" w:firstLineChars="0"/>
              <w:jc w:val="center"/>
              <w:rPr>
                <w:sz w:val="18"/>
              </w:rPr>
            </w:pPr>
            <w:r>
              <w:rPr>
                <w:rFonts w:hint="eastAsia"/>
                <w:sz w:val="18"/>
              </w:rPr>
              <w:t>4</w:t>
            </w:r>
          </w:p>
        </w:tc>
        <w:tc>
          <w:tcPr>
            <w:tcW w:w="645" w:type="pct"/>
            <w:tcBorders>
              <w:tl2br w:val="nil"/>
              <w:tr2bl w:val="nil"/>
            </w:tcBorders>
          </w:tcPr>
          <w:p w14:paraId="6CB40F56">
            <w:pPr>
              <w:ind w:firstLine="0" w:firstLineChars="0"/>
              <w:jc w:val="center"/>
              <w:rPr>
                <w:sz w:val="18"/>
              </w:rPr>
            </w:pPr>
            <w:r>
              <w:rPr>
                <w:rFonts w:hint="eastAsia"/>
                <w:sz w:val="18"/>
              </w:rPr>
              <w:t>~792</w:t>
            </w:r>
          </w:p>
        </w:tc>
        <w:tc>
          <w:tcPr>
            <w:tcW w:w="584" w:type="pct"/>
            <w:tcBorders>
              <w:tl2br w:val="nil"/>
              <w:tr2bl w:val="nil"/>
            </w:tcBorders>
          </w:tcPr>
          <w:p w14:paraId="52BD4031">
            <w:pPr>
              <w:ind w:firstLine="0" w:firstLineChars="0"/>
              <w:jc w:val="center"/>
              <w:rPr>
                <w:sz w:val="18"/>
              </w:rPr>
            </w:pPr>
            <w:r>
              <w:rPr>
                <w:rFonts w:hint="eastAsia"/>
                <w:sz w:val="18"/>
              </w:rPr>
              <w:t>12.9×</w:t>
            </w:r>
          </w:p>
        </w:tc>
        <w:tc>
          <w:tcPr>
            <w:tcW w:w="552" w:type="pct"/>
            <w:tcBorders>
              <w:tl2br w:val="nil"/>
              <w:tr2bl w:val="nil"/>
            </w:tcBorders>
          </w:tcPr>
          <w:p w14:paraId="41546BA5">
            <w:pPr>
              <w:ind w:firstLine="0" w:firstLineChars="0"/>
              <w:jc w:val="center"/>
              <w:rPr>
                <w:sz w:val="18"/>
              </w:rPr>
            </w:pPr>
            <w:r>
              <w:rPr>
                <w:rFonts w:hint="eastAsia"/>
                <w:sz w:val="18"/>
              </w:rPr>
              <w:t>82.4%</w:t>
            </w:r>
          </w:p>
        </w:tc>
        <w:tc>
          <w:tcPr>
            <w:tcW w:w="586" w:type="pct"/>
            <w:tcBorders>
              <w:tl2br w:val="nil"/>
              <w:tr2bl w:val="nil"/>
            </w:tcBorders>
          </w:tcPr>
          <w:p w14:paraId="5EB27C98">
            <w:pPr>
              <w:ind w:firstLine="0" w:firstLineChars="0"/>
              <w:jc w:val="center"/>
              <w:rPr>
                <w:sz w:val="18"/>
              </w:rPr>
            </w:pPr>
            <w:r>
              <w:rPr>
                <w:rFonts w:hint="eastAsia"/>
                <w:sz w:val="18"/>
              </w:rPr>
              <w:t>73.7%</w:t>
            </w:r>
          </w:p>
        </w:tc>
        <w:tc>
          <w:tcPr>
            <w:tcW w:w="552" w:type="pct"/>
            <w:tcBorders>
              <w:tl2br w:val="nil"/>
              <w:tr2bl w:val="nil"/>
            </w:tcBorders>
          </w:tcPr>
          <w:p w14:paraId="0062C364">
            <w:pPr>
              <w:ind w:firstLine="0" w:firstLineChars="0"/>
              <w:jc w:val="center"/>
              <w:rPr>
                <w:sz w:val="18"/>
              </w:rPr>
            </w:pPr>
            <w:r>
              <w:rPr>
                <w:rFonts w:hint="eastAsia"/>
                <w:sz w:val="18"/>
              </w:rPr>
              <w:t>17.6%</w:t>
            </w:r>
          </w:p>
        </w:tc>
        <w:tc>
          <w:tcPr>
            <w:tcW w:w="380" w:type="pct"/>
            <w:tcBorders>
              <w:tl2br w:val="nil"/>
              <w:tr2bl w:val="nil"/>
            </w:tcBorders>
          </w:tcPr>
          <w:p w14:paraId="67EE8394">
            <w:pPr>
              <w:ind w:firstLine="0" w:firstLineChars="0"/>
              <w:jc w:val="center"/>
              <w:rPr>
                <w:sz w:val="18"/>
              </w:rPr>
            </w:pPr>
            <w:r>
              <w:rPr>
                <w:rFonts w:hint="eastAsia"/>
                <w:sz w:val="18"/>
              </w:rPr>
              <w:t>20.8</w:t>
            </w:r>
          </w:p>
        </w:tc>
      </w:tr>
      <w:tr w14:paraId="6A6325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3" w:hRule="atLeast"/>
          <w:jc w:val="center"/>
        </w:trPr>
        <w:tc>
          <w:tcPr>
            <w:tcW w:w="1442" w:type="pct"/>
            <w:tcBorders>
              <w:tl2br w:val="nil"/>
              <w:tr2bl w:val="nil"/>
            </w:tcBorders>
          </w:tcPr>
          <w:p w14:paraId="1D80BFB5">
            <w:pPr>
              <w:ind w:firstLine="0" w:firstLineChars="0"/>
              <w:jc w:val="center"/>
              <w:rPr>
                <w:sz w:val="18"/>
              </w:rPr>
            </w:pPr>
            <w:r>
              <w:rPr>
                <w:rFonts w:hint="eastAsia"/>
                <w:sz w:val="18"/>
              </w:rPr>
              <w:t>FlashGlyph (ours)</w:t>
            </w:r>
          </w:p>
        </w:tc>
        <w:tc>
          <w:tcPr>
            <w:tcW w:w="256" w:type="pct"/>
            <w:tcBorders>
              <w:tl2br w:val="nil"/>
              <w:tr2bl w:val="nil"/>
            </w:tcBorders>
          </w:tcPr>
          <w:p w14:paraId="6F473C12">
            <w:pPr>
              <w:ind w:firstLine="0" w:firstLineChars="0"/>
              <w:jc w:val="center"/>
              <w:rPr>
                <w:sz w:val="18"/>
              </w:rPr>
            </w:pPr>
            <w:r>
              <w:rPr>
                <w:rFonts w:hint="eastAsia"/>
                <w:sz w:val="18"/>
              </w:rPr>
              <w:t>4</w:t>
            </w:r>
          </w:p>
        </w:tc>
        <w:tc>
          <w:tcPr>
            <w:tcW w:w="645" w:type="pct"/>
            <w:tcBorders>
              <w:tl2br w:val="nil"/>
              <w:tr2bl w:val="nil"/>
            </w:tcBorders>
          </w:tcPr>
          <w:p w14:paraId="1AD87D05">
            <w:pPr>
              <w:ind w:firstLine="0" w:firstLineChars="0"/>
              <w:jc w:val="center"/>
              <w:rPr>
                <w:sz w:val="18"/>
              </w:rPr>
            </w:pPr>
            <w:r>
              <w:rPr>
                <w:rFonts w:hint="eastAsia"/>
                <w:sz w:val="18"/>
              </w:rPr>
              <w:t>~828</w:t>
            </w:r>
          </w:p>
        </w:tc>
        <w:tc>
          <w:tcPr>
            <w:tcW w:w="584" w:type="pct"/>
            <w:tcBorders>
              <w:tl2br w:val="nil"/>
              <w:tr2bl w:val="nil"/>
            </w:tcBorders>
          </w:tcPr>
          <w:p w14:paraId="7E40F3AB">
            <w:pPr>
              <w:ind w:firstLine="0" w:firstLineChars="0"/>
              <w:jc w:val="center"/>
              <w:rPr>
                <w:sz w:val="18"/>
              </w:rPr>
            </w:pPr>
            <w:r>
              <w:rPr>
                <w:rFonts w:hint="eastAsia"/>
                <w:sz w:val="18"/>
              </w:rPr>
              <w:t>12.3×</w:t>
            </w:r>
          </w:p>
        </w:tc>
        <w:tc>
          <w:tcPr>
            <w:tcW w:w="552" w:type="pct"/>
            <w:tcBorders>
              <w:tl2br w:val="nil"/>
              <w:tr2bl w:val="nil"/>
            </w:tcBorders>
          </w:tcPr>
          <w:p w14:paraId="1CD0D292">
            <w:pPr>
              <w:ind w:firstLine="0" w:firstLineChars="0"/>
              <w:jc w:val="center"/>
              <w:rPr>
                <w:sz w:val="18"/>
              </w:rPr>
            </w:pPr>
            <w:r>
              <w:rPr>
                <w:rFonts w:hint="eastAsia"/>
                <w:sz w:val="18"/>
              </w:rPr>
              <w:t>89.3%</w:t>
            </w:r>
          </w:p>
        </w:tc>
        <w:tc>
          <w:tcPr>
            <w:tcW w:w="586" w:type="pct"/>
            <w:tcBorders>
              <w:tl2br w:val="nil"/>
              <w:tr2bl w:val="nil"/>
            </w:tcBorders>
          </w:tcPr>
          <w:p w14:paraId="122AF0CD">
            <w:pPr>
              <w:ind w:firstLine="0" w:firstLineChars="0"/>
              <w:jc w:val="center"/>
              <w:rPr>
                <w:sz w:val="18"/>
              </w:rPr>
            </w:pPr>
            <w:r>
              <w:rPr>
                <w:rFonts w:hint="eastAsia"/>
                <w:sz w:val="18"/>
              </w:rPr>
              <w:t>82.9%</w:t>
            </w:r>
          </w:p>
        </w:tc>
        <w:tc>
          <w:tcPr>
            <w:tcW w:w="552" w:type="pct"/>
            <w:tcBorders>
              <w:tl2br w:val="nil"/>
              <w:tr2bl w:val="nil"/>
            </w:tcBorders>
          </w:tcPr>
          <w:p w14:paraId="1464A013">
            <w:pPr>
              <w:ind w:firstLine="0" w:firstLineChars="0"/>
              <w:jc w:val="center"/>
              <w:rPr>
                <w:sz w:val="18"/>
              </w:rPr>
            </w:pPr>
            <w:r>
              <w:rPr>
                <w:rFonts w:hint="eastAsia"/>
                <w:sz w:val="18"/>
              </w:rPr>
              <w:t>10.7%</w:t>
            </w:r>
          </w:p>
        </w:tc>
        <w:tc>
          <w:tcPr>
            <w:tcW w:w="380" w:type="pct"/>
            <w:tcBorders>
              <w:tl2br w:val="nil"/>
              <w:tr2bl w:val="nil"/>
            </w:tcBorders>
          </w:tcPr>
          <w:p w14:paraId="735DA3D5">
            <w:pPr>
              <w:ind w:firstLine="0" w:firstLineChars="0"/>
              <w:jc w:val="center"/>
              <w:rPr>
                <w:sz w:val="18"/>
              </w:rPr>
            </w:pPr>
            <w:r>
              <w:rPr>
                <w:rFonts w:hint="eastAsia"/>
                <w:sz w:val="18"/>
              </w:rPr>
              <w:t>15.7</w:t>
            </w:r>
          </w:p>
        </w:tc>
      </w:tr>
      <w:tr w14:paraId="516D0E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3" w:hRule="atLeast"/>
          <w:jc w:val="center"/>
        </w:trPr>
        <w:tc>
          <w:tcPr>
            <w:tcW w:w="1442" w:type="pct"/>
            <w:tcBorders>
              <w:tl2br w:val="nil"/>
              <w:tr2bl w:val="nil"/>
            </w:tcBorders>
          </w:tcPr>
          <w:p w14:paraId="78A85A7F">
            <w:pPr>
              <w:ind w:firstLine="0" w:firstLineChars="0"/>
              <w:jc w:val="center"/>
              <w:rPr>
                <w:sz w:val="18"/>
              </w:rPr>
            </w:pPr>
            <w:r>
              <w:rPr>
                <w:rFonts w:hint="eastAsia"/>
                <w:sz w:val="18"/>
              </w:rPr>
              <w:t>FlashGlyph (2-step)</w:t>
            </w:r>
          </w:p>
        </w:tc>
        <w:tc>
          <w:tcPr>
            <w:tcW w:w="256" w:type="pct"/>
            <w:tcBorders>
              <w:tl2br w:val="nil"/>
              <w:tr2bl w:val="nil"/>
            </w:tcBorders>
          </w:tcPr>
          <w:p w14:paraId="6DA4AA60">
            <w:pPr>
              <w:ind w:firstLine="0" w:firstLineChars="0"/>
              <w:jc w:val="center"/>
              <w:rPr>
                <w:sz w:val="18"/>
              </w:rPr>
            </w:pPr>
            <w:r>
              <w:rPr>
                <w:rFonts w:hint="eastAsia"/>
                <w:sz w:val="18"/>
              </w:rPr>
              <w:t>2</w:t>
            </w:r>
          </w:p>
        </w:tc>
        <w:tc>
          <w:tcPr>
            <w:tcW w:w="645" w:type="pct"/>
            <w:tcBorders>
              <w:tl2br w:val="nil"/>
              <w:tr2bl w:val="nil"/>
            </w:tcBorders>
          </w:tcPr>
          <w:p w14:paraId="612928F9">
            <w:pPr>
              <w:ind w:firstLine="0" w:firstLineChars="0"/>
              <w:jc w:val="center"/>
              <w:rPr>
                <w:sz w:val="18"/>
              </w:rPr>
            </w:pPr>
            <w:r>
              <w:rPr>
                <w:rFonts w:hint="eastAsia"/>
                <w:sz w:val="18"/>
              </w:rPr>
              <w:t>~420</w:t>
            </w:r>
          </w:p>
        </w:tc>
        <w:tc>
          <w:tcPr>
            <w:tcW w:w="584" w:type="pct"/>
            <w:tcBorders>
              <w:tl2br w:val="nil"/>
              <w:tr2bl w:val="nil"/>
            </w:tcBorders>
          </w:tcPr>
          <w:p w14:paraId="0315BB4B">
            <w:pPr>
              <w:ind w:firstLine="0" w:firstLineChars="0"/>
              <w:jc w:val="center"/>
              <w:rPr>
                <w:sz w:val="18"/>
              </w:rPr>
            </w:pPr>
            <w:r>
              <w:rPr>
                <w:rFonts w:hint="eastAsia"/>
                <w:sz w:val="18"/>
              </w:rPr>
              <w:t>24.3×</w:t>
            </w:r>
          </w:p>
        </w:tc>
        <w:tc>
          <w:tcPr>
            <w:tcW w:w="552" w:type="pct"/>
            <w:tcBorders>
              <w:tl2br w:val="nil"/>
              <w:tr2bl w:val="nil"/>
            </w:tcBorders>
          </w:tcPr>
          <w:p w14:paraId="73BECFC2">
            <w:pPr>
              <w:ind w:firstLine="0" w:firstLineChars="0"/>
              <w:jc w:val="center"/>
              <w:rPr>
                <w:sz w:val="18"/>
              </w:rPr>
            </w:pPr>
            <w:r>
              <w:rPr>
                <w:rFonts w:hint="eastAsia"/>
                <w:sz w:val="18"/>
              </w:rPr>
              <w:t>83.7%</w:t>
            </w:r>
          </w:p>
        </w:tc>
        <w:tc>
          <w:tcPr>
            <w:tcW w:w="586" w:type="pct"/>
            <w:tcBorders>
              <w:tl2br w:val="nil"/>
              <w:tr2bl w:val="nil"/>
            </w:tcBorders>
          </w:tcPr>
          <w:p w14:paraId="7A35496D">
            <w:pPr>
              <w:ind w:firstLine="0" w:firstLineChars="0"/>
              <w:jc w:val="center"/>
              <w:rPr>
                <w:sz w:val="18"/>
              </w:rPr>
            </w:pPr>
            <w:r>
              <w:rPr>
                <w:rFonts w:hint="eastAsia"/>
                <w:sz w:val="18"/>
              </w:rPr>
              <w:t>75.1%</w:t>
            </w:r>
          </w:p>
        </w:tc>
        <w:tc>
          <w:tcPr>
            <w:tcW w:w="552" w:type="pct"/>
            <w:tcBorders>
              <w:tl2br w:val="nil"/>
              <w:tr2bl w:val="nil"/>
            </w:tcBorders>
          </w:tcPr>
          <w:p w14:paraId="694EC66B">
            <w:pPr>
              <w:ind w:firstLine="0" w:firstLineChars="0"/>
              <w:jc w:val="center"/>
              <w:rPr>
                <w:sz w:val="18"/>
              </w:rPr>
            </w:pPr>
            <w:r>
              <w:rPr>
                <w:rFonts w:hint="eastAsia"/>
                <w:sz w:val="18"/>
              </w:rPr>
              <w:t>16.3%</w:t>
            </w:r>
          </w:p>
        </w:tc>
        <w:tc>
          <w:tcPr>
            <w:tcW w:w="380" w:type="pct"/>
            <w:tcBorders>
              <w:tl2br w:val="nil"/>
              <w:tr2bl w:val="nil"/>
            </w:tcBorders>
          </w:tcPr>
          <w:p w14:paraId="0E1EDF66">
            <w:pPr>
              <w:ind w:firstLine="0" w:firstLineChars="0"/>
              <w:jc w:val="center"/>
              <w:rPr>
                <w:sz w:val="18"/>
              </w:rPr>
            </w:pPr>
            <w:r>
              <w:rPr>
                <w:rFonts w:hint="eastAsia"/>
                <w:sz w:val="18"/>
              </w:rPr>
              <w:t>19.2</w:t>
            </w:r>
          </w:p>
        </w:tc>
      </w:tr>
      <w:tr w14:paraId="70C6AC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53" w:hRule="atLeast"/>
          <w:jc w:val="center"/>
        </w:trPr>
        <w:tc>
          <w:tcPr>
            <w:tcW w:w="1442" w:type="pct"/>
            <w:tcBorders>
              <w:tl2br w:val="nil"/>
              <w:tr2bl w:val="nil"/>
            </w:tcBorders>
          </w:tcPr>
          <w:p w14:paraId="5FCFDC57">
            <w:pPr>
              <w:ind w:firstLine="0" w:firstLineChars="0"/>
              <w:jc w:val="center"/>
              <w:rPr>
                <w:sz w:val="18"/>
              </w:rPr>
            </w:pPr>
            <w:r>
              <w:rPr>
                <w:rFonts w:hint="eastAsia"/>
                <w:sz w:val="18"/>
              </w:rPr>
              <w:t>FlashGlyph (8-step)</w:t>
            </w:r>
          </w:p>
        </w:tc>
        <w:tc>
          <w:tcPr>
            <w:tcW w:w="256" w:type="pct"/>
            <w:tcBorders>
              <w:tl2br w:val="nil"/>
              <w:tr2bl w:val="nil"/>
            </w:tcBorders>
          </w:tcPr>
          <w:p w14:paraId="4444E6E6">
            <w:pPr>
              <w:ind w:firstLine="0" w:firstLineChars="0"/>
              <w:jc w:val="center"/>
              <w:rPr>
                <w:sz w:val="18"/>
              </w:rPr>
            </w:pPr>
            <w:r>
              <w:rPr>
                <w:rFonts w:hint="eastAsia"/>
                <w:sz w:val="18"/>
              </w:rPr>
              <w:t>8</w:t>
            </w:r>
          </w:p>
        </w:tc>
        <w:tc>
          <w:tcPr>
            <w:tcW w:w="645" w:type="pct"/>
            <w:tcBorders>
              <w:tl2br w:val="nil"/>
              <w:tr2bl w:val="nil"/>
            </w:tcBorders>
          </w:tcPr>
          <w:p w14:paraId="225AD19C">
            <w:pPr>
              <w:ind w:firstLine="0" w:firstLineChars="0"/>
              <w:jc w:val="center"/>
              <w:rPr>
                <w:sz w:val="18"/>
              </w:rPr>
            </w:pPr>
            <w:r>
              <w:rPr>
                <w:rFonts w:hint="eastAsia"/>
                <w:sz w:val="18"/>
              </w:rPr>
              <w:t>~1404</w:t>
            </w:r>
          </w:p>
        </w:tc>
        <w:tc>
          <w:tcPr>
            <w:tcW w:w="584" w:type="pct"/>
            <w:tcBorders>
              <w:tl2br w:val="nil"/>
              <w:tr2bl w:val="nil"/>
            </w:tcBorders>
          </w:tcPr>
          <w:p w14:paraId="11280F2A">
            <w:pPr>
              <w:ind w:firstLine="0" w:firstLineChars="0"/>
              <w:jc w:val="center"/>
              <w:rPr>
                <w:sz w:val="18"/>
              </w:rPr>
            </w:pPr>
            <w:r>
              <w:rPr>
                <w:rFonts w:hint="eastAsia"/>
                <w:sz w:val="18"/>
              </w:rPr>
              <w:t>7.0×</w:t>
            </w:r>
          </w:p>
        </w:tc>
        <w:tc>
          <w:tcPr>
            <w:tcW w:w="552" w:type="pct"/>
            <w:tcBorders>
              <w:tl2br w:val="nil"/>
              <w:tr2bl w:val="nil"/>
            </w:tcBorders>
          </w:tcPr>
          <w:p w14:paraId="48DA684B">
            <w:pPr>
              <w:ind w:firstLine="0" w:firstLineChars="0"/>
              <w:jc w:val="center"/>
              <w:rPr>
                <w:sz w:val="18"/>
              </w:rPr>
            </w:pPr>
            <w:r>
              <w:rPr>
                <w:rFonts w:hint="eastAsia"/>
                <w:sz w:val="18"/>
              </w:rPr>
              <w:t>91.2%</w:t>
            </w:r>
          </w:p>
        </w:tc>
        <w:tc>
          <w:tcPr>
            <w:tcW w:w="586" w:type="pct"/>
            <w:tcBorders>
              <w:tl2br w:val="nil"/>
              <w:tr2bl w:val="nil"/>
            </w:tcBorders>
          </w:tcPr>
          <w:p w14:paraId="7DDFDB43">
            <w:pPr>
              <w:ind w:firstLine="0" w:firstLineChars="0"/>
              <w:jc w:val="center"/>
              <w:rPr>
                <w:sz w:val="18"/>
              </w:rPr>
            </w:pPr>
            <w:r>
              <w:rPr>
                <w:rFonts w:hint="eastAsia"/>
                <w:sz w:val="18"/>
              </w:rPr>
              <w:t>86.3%</w:t>
            </w:r>
          </w:p>
        </w:tc>
        <w:tc>
          <w:tcPr>
            <w:tcW w:w="552" w:type="pct"/>
            <w:tcBorders>
              <w:tl2br w:val="nil"/>
              <w:tr2bl w:val="nil"/>
            </w:tcBorders>
          </w:tcPr>
          <w:p w14:paraId="0FEB8743">
            <w:pPr>
              <w:ind w:firstLine="0" w:firstLineChars="0"/>
              <w:jc w:val="center"/>
              <w:rPr>
                <w:sz w:val="18"/>
              </w:rPr>
            </w:pPr>
            <w:r>
              <w:rPr>
                <w:rFonts w:hint="eastAsia"/>
                <w:sz w:val="18"/>
              </w:rPr>
              <w:t>7</w:t>
            </w:r>
            <w:bookmarkStart w:id="0" w:name="_GoBack"/>
            <w:bookmarkEnd w:id="0"/>
            <w:r>
              <w:rPr>
                <w:rFonts w:hint="eastAsia"/>
                <w:sz w:val="18"/>
              </w:rPr>
              <w:t>.8%</w:t>
            </w:r>
          </w:p>
        </w:tc>
        <w:tc>
          <w:tcPr>
            <w:tcW w:w="380" w:type="pct"/>
            <w:tcBorders>
              <w:tl2br w:val="nil"/>
              <w:tr2bl w:val="nil"/>
            </w:tcBorders>
          </w:tcPr>
          <w:p w14:paraId="59B0DACC">
            <w:pPr>
              <w:ind w:firstLine="0" w:firstLineChars="0"/>
              <w:jc w:val="center"/>
              <w:rPr>
                <w:sz w:val="18"/>
              </w:rPr>
            </w:pPr>
            <w:r>
              <w:rPr>
                <w:rFonts w:hint="eastAsia"/>
                <w:sz w:val="18"/>
              </w:rPr>
              <w:t>13.7</w:t>
            </w:r>
          </w:p>
        </w:tc>
      </w:tr>
    </w:tbl>
    <w:p w14:paraId="26836F14">
      <w:pPr>
        <w:ind w:firstLine="420"/>
      </w:pPr>
      <w:r>
        <w:t>表1a和表1b给出了中文与英文测试集上的主实验结果。总体来看，训练无关的少步求解器虽然能够显著降低推理延迟，但在字符准确率和CER等可读性指标上退化明显；相比之下，LCM baseline已经能够在4-step设置下取得更好的速度—质量平衡，而进一步引入三重可读性约束后，FlashGlyph在中英文测试集上均显著优于LCM baseline，并明显缩小了与教师模型之间的可读性差距。以4-step设置为例，FlashGlyph在中文测试集上的Char Acc从79.8%提升到87.6%，CER从20.2%降至12.4%；在英文测试集上，Char Acc从82.4%提升到89.3%，CER从17.6%降至10.7%。这说明，将少步场景文本编辑中的退化进一步分解为空间对齐、字符语义和笔画拓扑三个维度并进行联合约束，是提升少步文本可读性的有效途径。</w:t>
      </w:r>
    </w:p>
    <w:p w14:paraId="6A7A9444">
      <w:pPr>
        <w:ind w:firstLine="420"/>
        <w:rPr>
          <w:rFonts w:hint="eastAsia"/>
        </w:rPr>
      </w:pPr>
      <w:r>
        <w:t>此外，LCM-baseline(mask)相比LCM-baseline (no mask)在中英文测试集上均带来稳定提升，说明在一致性蒸馏中显式强调文本区域，对于少步场景文本编辑同样是关键设计。总体上，FlashGlyph在与LCM baseline接近的推理开销下取得了更高的字符识别准确率和更低的错误率，表明三重可读性约束能够在保持高效推理的同时显著提升文本区域的可用性。</w:t>
      </w:r>
    </w:p>
    <w:p w14:paraId="4C323F2B">
      <w:pPr>
        <w:pStyle w:val="105"/>
        <w:spacing w:before="156"/>
        <w:jc w:val="left"/>
        <w:rPr>
          <w:rFonts w:hint="eastAsia"/>
          <w:highlight w:val="yellow"/>
        </w:rPr>
      </w:pPr>
      <w:r>
        <w:rPr>
          <w:rFonts w:hint="eastAsia"/>
        </w:rPr>
        <w:drawing>
          <wp:inline distT="0" distB="0" distL="114300" distR="114300">
            <wp:extent cx="2926715" cy="1179830"/>
            <wp:effectExtent l="0" t="0" r="6985" b="1270"/>
            <wp:docPr id="3" name="图片 3" descr="main_effectiveness_cn_en_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ain_effectiveness_cn_en_latest"/>
                    <pic:cNvPicPr>
                      <a:picLocks noChangeAspect="1"/>
                    </pic:cNvPicPr>
                  </pic:nvPicPr>
                  <pic:blipFill>
                    <a:blip r:embed="rId13"/>
                    <a:stretch>
                      <a:fillRect/>
                    </a:stretch>
                  </pic:blipFill>
                  <pic:spPr>
                    <a:xfrm>
                      <a:off x="0" y="0"/>
                      <a:ext cx="2926715" cy="1179830"/>
                    </a:xfrm>
                    <a:prstGeom prst="rect">
                      <a:avLst/>
                    </a:prstGeom>
                  </pic:spPr>
                </pic:pic>
              </a:graphicData>
            </a:graphic>
          </wp:inline>
        </w:drawing>
      </w:r>
    </w:p>
    <w:p w14:paraId="1B52A06C">
      <w:pPr>
        <w:pStyle w:val="106"/>
        <w:spacing w:after="156"/>
      </w:pPr>
      <w:r>
        <w:rPr>
          <w:rFonts w:hint="eastAsia"/>
        </w:rPr>
        <w:t>图2 主结果定性对比</w:t>
      </w:r>
    </w:p>
    <w:p w14:paraId="1BF9127D">
      <w:pPr>
        <w:ind w:firstLine="420"/>
        <w:rPr>
          <w:rFonts w:hint="eastAsia"/>
        </w:rPr>
      </w:pPr>
      <w:r>
        <w:t>图</w:t>
      </w:r>
      <w:r>
        <w:rPr>
          <w:rFonts w:hint="eastAsia"/>
        </w:rPr>
        <w:t>2</w:t>
      </w:r>
      <w:r>
        <w:t>给出了延迟与字符识别准确率之间的关系。可以看到，solver-based加速方法虽然能够在一定程度上降低推理时间，但在字符准确率上明显落后于蒸馏方法；LCM baseline已经形成优于少步求解器的速度—质量平衡，而FlashGlyph则在相近推理延迟下进一步提升了字符准确率。从速度—质量折中的角度看，FlashGlyph在中英文测试集上均位于更优的速度—质量前沿，说明所提出的三重可读性约束能够在极少推理步数下有效提升文本生成的可读性与结构稳定性。</w:t>
      </w:r>
    </w:p>
    <w:p w14:paraId="4BE120C2">
      <w:pPr>
        <w:pStyle w:val="3"/>
        <w:numPr>
          <w:ilvl w:val="1"/>
          <w:numId w:val="0"/>
        </w:numPr>
        <w:tabs>
          <w:tab w:val="clear" w:pos="567"/>
        </w:tabs>
        <w:spacing w:before="156" w:after="156"/>
      </w:pPr>
      <w:r>
        <w:rPr>
          <w:rFonts w:hint="eastAsia"/>
        </w:rPr>
        <w:t>3.4</w:t>
      </w:r>
      <w:r>
        <w:t>消融实验与分析</w:t>
      </w:r>
    </w:p>
    <w:p w14:paraId="0A3C1A78">
      <w:pPr>
        <w:ind w:firstLine="420"/>
      </w:pPr>
      <w:r>
        <w:t>为验证各约束项对少步场景文本编辑可读性的独立贡献，本文采用leave-one-out消融设计。在区域加权的一致性蒸馏baseline的基础上，构建完整模型FlashGlyph，并分别移除注意力对齐约束、OCR-CTC语义监督和拓扑一致性约束，以考察三类模块对空间稳定性、字符语义正确性与笔画连通性的影响。考虑到三项约束分别对应少步文本编辑中的三类主要退化来源，该设计能够以较低训练成本直接评估各模块的边际贡献，并满足本文对模块有效性的主要验证需求。</w:t>
      </w:r>
    </w:p>
    <w:p w14:paraId="230F29F5">
      <w:pPr>
        <w:pStyle w:val="105"/>
        <w:spacing w:before="156"/>
      </w:pPr>
      <w:r>
        <w:rPr>
          <w:rFonts w:hint="eastAsia"/>
        </w:rPr>
        <w:t xml:space="preserve">表2a </w:t>
      </w:r>
      <w:r>
        <w:t>中文测试集组件消融结果</w:t>
      </w:r>
    </w:p>
    <w:tbl>
      <w:tblPr>
        <w:tblStyle w:val="40"/>
        <w:tblW w:w="521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18"/>
        <w:gridCol w:w="658"/>
        <w:gridCol w:w="658"/>
        <w:gridCol w:w="658"/>
        <w:gridCol w:w="514"/>
        <w:gridCol w:w="670"/>
        <w:gridCol w:w="659"/>
      </w:tblGrid>
      <w:tr w14:paraId="40D44D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61" w:hRule="atLeast"/>
          <w:tblHeader/>
          <w:jc w:val="center"/>
        </w:trPr>
        <w:tc>
          <w:tcPr>
            <w:tcW w:w="1053" w:type="pct"/>
            <w:tcBorders>
              <w:top w:val="single" w:color="auto" w:sz="12" w:space="0"/>
              <w:bottom w:val="single" w:color="auto" w:sz="12" w:space="0"/>
            </w:tcBorders>
            <w:vAlign w:val="center"/>
          </w:tcPr>
          <w:p w14:paraId="17C96E81">
            <w:pPr>
              <w:ind w:firstLine="0" w:firstLineChars="0"/>
              <w:jc w:val="center"/>
              <w:rPr>
                <w:sz w:val="18"/>
              </w:rPr>
            </w:pPr>
            <w:r>
              <w:rPr>
                <w:rFonts w:hint="eastAsia"/>
                <w:sz w:val="18"/>
              </w:rPr>
              <w:t>变体</w:t>
            </w:r>
          </w:p>
        </w:tc>
        <w:tc>
          <w:tcPr>
            <w:tcW w:w="681" w:type="pct"/>
            <w:tcBorders>
              <w:top w:val="single" w:color="auto" w:sz="12" w:space="0"/>
              <w:bottom w:val="single" w:color="auto" w:sz="12" w:space="0"/>
            </w:tcBorders>
            <w:vAlign w:val="center"/>
          </w:tcPr>
          <w:p w14:paraId="25A0FDD1">
            <w:pPr>
              <w:ind w:firstLine="0" w:firstLineChars="0"/>
              <w:jc w:val="center"/>
              <w:rPr>
                <w:sz w:val="18"/>
              </w:rPr>
            </w:pPr>
            <w:r>
              <w:rPr>
                <w:rFonts w:hint="eastAsia"/>
                <w:sz w:val="18"/>
              </w:rPr>
              <w:t>Char Acc↑</w:t>
            </w:r>
          </w:p>
        </w:tc>
        <w:tc>
          <w:tcPr>
            <w:tcW w:w="681" w:type="pct"/>
            <w:tcBorders>
              <w:top w:val="single" w:color="auto" w:sz="12" w:space="0"/>
              <w:bottom w:val="single" w:color="auto" w:sz="12" w:space="0"/>
            </w:tcBorders>
            <w:vAlign w:val="center"/>
          </w:tcPr>
          <w:p w14:paraId="2C36022F">
            <w:pPr>
              <w:ind w:firstLine="0" w:firstLineChars="0"/>
              <w:jc w:val="center"/>
              <w:rPr>
                <w:sz w:val="18"/>
              </w:rPr>
            </w:pPr>
            <w:r>
              <w:rPr>
                <w:rFonts w:hint="eastAsia"/>
                <w:sz w:val="18"/>
              </w:rPr>
              <w:t>Word Acc↑</w:t>
            </w:r>
          </w:p>
        </w:tc>
        <w:tc>
          <w:tcPr>
            <w:tcW w:w="681" w:type="pct"/>
            <w:tcBorders>
              <w:top w:val="single" w:color="auto" w:sz="12" w:space="0"/>
              <w:bottom w:val="single" w:color="auto" w:sz="12" w:space="0"/>
            </w:tcBorders>
            <w:vAlign w:val="center"/>
          </w:tcPr>
          <w:p w14:paraId="2EFE94F3">
            <w:pPr>
              <w:ind w:firstLine="0" w:firstLineChars="0"/>
              <w:jc w:val="center"/>
              <w:rPr>
                <w:sz w:val="18"/>
              </w:rPr>
            </w:pPr>
            <w:r>
              <w:rPr>
                <w:rFonts w:hint="eastAsia"/>
                <w:sz w:val="18"/>
              </w:rPr>
              <w:t>CER↓</w:t>
            </w:r>
          </w:p>
        </w:tc>
        <w:tc>
          <w:tcPr>
            <w:tcW w:w="532" w:type="pct"/>
            <w:tcBorders>
              <w:top w:val="single" w:color="auto" w:sz="12" w:space="0"/>
              <w:bottom w:val="single" w:color="auto" w:sz="12" w:space="0"/>
            </w:tcBorders>
            <w:vAlign w:val="center"/>
          </w:tcPr>
          <w:p w14:paraId="77A4F9E0">
            <w:pPr>
              <w:ind w:firstLine="0" w:firstLineChars="0"/>
              <w:jc w:val="center"/>
              <w:rPr>
                <w:sz w:val="18"/>
              </w:rPr>
            </w:pPr>
            <w:r>
              <w:rPr>
                <w:rFonts w:hint="eastAsia"/>
                <w:sz w:val="18"/>
              </w:rPr>
              <w:t>FID↓</w:t>
            </w:r>
          </w:p>
        </w:tc>
        <w:tc>
          <w:tcPr>
            <w:tcW w:w="687" w:type="pct"/>
            <w:tcBorders>
              <w:top w:val="single" w:color="auto" w:sz="12" w:space="0"/>
              <w:bottom w:val="single" w:color="auto" w:sz="12" w:space="0"/>
            </w:tcBorders>
            <w:vAlign w:val="center"/>
          </w:tcPr>
          <w:p w14:paraId="0F131125">
            <w:pPr>
              <w:ind w:firstLine="0" w:firstLineChars="0"/>
              <w:jc w:val="center"/>
              <w:rPr>
                <w:sz w:val="18"/>
              </w:rPr>
            </w:pPr>
            <w:r>
              <w:rPr>
                <w:rFonts w:hint="eastAsia"/>
                <w:sz w:val="18"/>
              </w:rPr>
              <w:t>clDice↑</w:t>
            </w:r>
          </w:p>
        </w:tc>
        <w:tc>
          <w:tcPr>
            <w:tcW w:w="681" w:type="pct"/>
            <w:tcBorders>
              <w:top w:val="single" w:color="auto" w:sz="12" w:space="0"/>
              <w:bottom w:val="single" w:color="auto" w:sz="12" w:space="0"/>
            </w:tcBorders>
            <w:vAlign w:val="center"/>
          </w:tcPr>
          <w:p w14:paraId="69857B33">
            <w:pPr>
              <w:ind w:firstLine="0" w:firstLineChars="0"/>
              <w:jc w:val="center"/>
              <w:rPr>
                <w:sz w:val="18"/>
              </w:rPr>
            </w:pPr>
            <w:r>
              <w:rPr>
                <w:rFonts w:hint="eastAsia"/>
                <w:sz w:val="18"/>
              </w:rPr>
              <w:t>结构崩溃率↓</w:t>
            </w:r>
          </w:p>
        </w:tc>
      </w:tr>
      <w:tr w14:paraId="65D77F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jc w:val="center"/>
        </w:trPr>
        <w:tc>
          <w:tcPr>
            <w:tcW w:w="1053" w:type="pct"/>
            <w:tcBorders>
              <w:top w:val="single" w:color="auto" w:sz="12" w:space="0"/>
            </w:tcBorders>
            <w:vAlign w:val="center"/>
          </w:tcPr>
          <w:p w14:paraId="2BB42915">
            <w:pPr>
              <w:ind w:firstLine="0" w:firstLineChars="0"/>
              <w:jc w:val="center"/>
              <w:rPr>
                <w:sz w:val="18"/>
              </w:rPr>
            </w:pPr>
            <w:r>
              <w:rPr>
                <w:rFonts w:hint="eastAsia"/>
                <w:sz w:val="18"/>
              </w:rPr>
              <w:t>LCM baseline</w:t>
            </w:r>
          </w:p>
        </w:tc>
        <w:tc>
          <w:tcPr>
            <w:tcW w:w="681" w:type="pct"/>
            <w:tcBorders>
              <w:top w:val="single" w:color="auto" w:sz="12" w:space="0"/>
            </w:tcBorders>
            <w:vAlign w:val="center"/>
          </w:tcPr>
          <w:p w14:paraId="3998D88E">
            <w:pPr>
              <w:ind w:firstLine="0" w:firstLineChars="0"/>
              <w:jc w:val="center"/>
              <w:rPr>
                <w:sz w:val="18"/>
              </w:rPr>
            </w:pPr>
            <w:r>
              <w:rPr>
                <w:rFonts w:hint="eastAsia"/>
                <w:sz w:val="18"/>
              </w:rPr>
              <w:t>79.8%</w:t>
            </w:r>
          </w:p>
        </w:tc>
        <w:tc>
          <w:tcPr>
            <w:tcW w:w="681" w:type="pct"/>
            <w:tcBorders>
              <w:top w:val="single" w:color="auto" w:sz="12" w:space="0"/>
            </w:tcBorders>
            <w:vAlign w:val="center"/>
          </w:tcPr>
          <w:p w14:paraId="37B895D4">
            <w:pPr>
              <w:ind w:firstLine="0" w:firstLineChars="0"/>
              <w:jc w:val="center"/>
              <w:rPr>
                <w:sz w:val="18"/>
              </w:rPr>
            </w:pPr>
            <w:r>
              <w:rPr>
                <w:rFonts w:hint="eastAsia"/>
                <w:sz w:val="18"/>
              </w:rPr>
              <w:t>69.1%</w:t>
            </w:r>
          </w:p>
        </w:tc>
        <w:tc>
          <w:tcPr>
            <w:tcW w:w="681" w:type="pct"/>
            <w:tcBorders>
              <w:top w:val="single" w:color="auto" w:sz="12" w:space="0"/>
            </w:tcBorders>
            <w:vAlign w:val="center"/>
          </w:tcPr>
          <w:p w14:paraId="3F58C27A">
            <w:pPr>
              <w:ind w:firstLine="0" w:firstLineChars="0"/>
              <w:jc w:val="center"/>
              <w:rPr>
                <w:sz w:val="18"/>
              </w:rPr>
            </w:pPr>
            <w:r>
              <w:rPr>
                <w:rFonts w:hint="eastAsia"/>
                <w:sz w:val="18"/>
              </w:rPr>
              <w:t>20.2%</w:t>
            </w:r>
          </w:p>
        </w:tc>
        <w:tc>
          <w:tcPr>
            <w:tcW w:w="532" w:type="pct"/>
            <w:tcBorders>
              <w:top w:val="single" w:color="auto" w:sz="12" w:space="0"/>
            </w:tcBorders>
            <w:vAlign w:val="center"/>
          </w:tcPr>
          <w:p w14:paraId="4B29A1B4">
            <w:pPr>
              <w:ind w:firstLine="0" w:firstLineChars="0"/>
              <w:jc w:val="center"/>
              <w:rPr>
                <w:sz w:val="18"/>
              </w:rPr>
            </w:pPr>
            <w:r>
              <w:rPr>
                <w:rFonts w:hint="eastAsia"/>
                <w:sz w:val="18"/>
              </w:rPr>
              <w:t>23.1</w:t>
            </w:r>
          </w:p>
        </w:tc>
        <w:tc>
          <w:tcPr>
            <w:tcW w:w="687" w:type="pct"/>
            <w:tcBorders>
              <w:top w:val="single" w:color="auto" w:sz="12" w:space="0"/>
            </w:tcBorders>
            <w:vAlign w:val="center"/>
          </w:tcPr>
          <w:p w14:paraId="172D5900">
            <w:pPr>
              <w:ind w:firstLine="0" w:firstLineChars="0"/>
              <w:jc w:val="center"/>
              <w:rPr>
                <w:sz w:val="18"/>
              </w:rPr>
            </w:pPr>
            <w:r>
              <w:rPr>
                <w:rFonts w:hint="eastAsia"/>
                <w:sz w:val="18"/>
              </w:rPr>
              <w:t>0.52</w:t>
            </w:r>
          </w:p>
        </w:tc>
        <w:tc>
          <w:tcPr>
            <w:tcW w:w="681" w:type="pct"/>
            <w:tcBorders>
              <w:top w:val="single" w:color="auto" w:sz="12" w:space="0"/>
            </w:tcBorders>
            <w:vAlign w:val="center"/>
          </w:tcPr>
          <w:p w14:paraId="41BC09F9">
            <w:pPr>
              <w:ind w:firstLine="0" w:firstLineChars="0"/>
              <w:jc w:val="center"/>
              <w:rPr>
                <w:sz w:val="18"/>
              </w:rPr>
            </w:pPr>
            <w:r>
              <w:rPr>
                <w:rFonts w:hint="eastAsia"/>
                <w:sz w:val="18"/>
              </w:rPr>
              <w:t>18.7%</w:t>
            </w:r>
          </w:p>
        </w:tc>
      </w:tr>
      <w:tr w14:paraId="2281B9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jc w:val="center"/>
        </w:trPr>
        <w:tc>
          <w:tcPr>
            <w:tcW w:w="1053" w:type="pct"/>
            <w:vAlign w:val="center"/>
          </w:tcPr>
          <w:p w14:paraId="173F8C7B">
            <w:pPr>
              <w:ind w:firstLine="0" w:firstLineChars="0"/>
              <w:jc w:val="center"/>
              <w:rPr>
                <w:sz w:val="18"/>
              </w:rPr>
            </w:pPr>
            <w:r>
              <w:rPr>
                <w:rFonts w:hint="eastAsia"/>
                <w:sz w:val="18"/>
              </w:rPr>
              <w:t>w/o Alignment</w:t>
            </w:r>
          </w:p>
        </w:tc>
        <w:tc>
          <w:tcPr>
            <w:tcW w:w="681" w:type="pct"/>
            <w:vAlign w:val="center"/>
          </w:tcPr>
          <w:p w14:paraId="7BFCFA09">
            <w:pPr>
              <w:ind w:firstLine="0" w:firstLineChars="0"/>
              <w:jc w:val="center"/>
              <w:rPr>
                <w:sz w:val="18"/>
              </w:rPr>
            </w:pPr>
            <w:r>
              <w:rPr>
                <w:rFonts w:hint="eastAsia"/>
                <w:sz w:val="18"/>
              </w:rPr>
              <w:t>84.8%</w:t>
            </w:r>
          </w:p>
        </w:tc>
        <w:tc>
          <w:tcPr>
            <w:tcW w:w="681" w:type="pct"/>
            <w:vAlign w:val="center"/>
          </w:tcPr>
          <w:p w14:paraId="331123AE">
            <w:pPr>
              <w:ind w:firstLine="0" w:firstLineChars="0"/>
              <w:jc w:val="center"/>
              <w:rPr>
                <w:sz w:val="18"/>
              </w:rPr>
            </w:pPr>
            <w:r>
              <w:rPr>
                <w:rFonts w:hint="eastAsia"/>
                <w:sz w:val="18"/>
              </w:rPr>
              <w:t>76.4%</w:t>
            </w:r>
          </w:p>
        </w:tc>
        <w:tc>
          <w:tcPr>
            <w:tcW w:w="681" w:type="pct"/>
            <w:vAlign w:val="center"/>
          </w:tcPr>
          <w:p w14:paraId="3392A028">
            <w:pPr>
              <w:ind w:firstLine="0" w:firstLineChars="0"/>
              <w:jc w:val="center"/>
              <w:rPr>
                <w:sz w:val="18"/>
              </w:rPr>
            </w:pPr>
            <w:r>
              <w:rPr>
                <w:rFonts w:hint="eastAsia"/>
                <w:sz w:val="18"/>
              </w:rPr>
              <w:t>15.2%</w:t>
            </w:r>
          </w:p>
        </w:tc>
        <w:tc>
          <w:tcPr>
            <w:tcW w:w="532" w:type="pct"/>
            <w:vAlign w:val="center"/>
          </w:tcPr>
          <w:p w14:paraId="1B16DF1F">
            <w:pPr>
              <w:ind w:firstLine="0" w:firstLineChars="0"/>
              <w:jc w:val="center"/>
              <w:rPr>
                <w:sz w:val="18"/>
              </w:rPr>
            </w:pPr>
            <w:r>
              <w:rPr>
                <w:rFonts w:hint="eastAsia"/>
                <w:sz w:val="18"/>
              </w:rPr>
              <w:t>20.5</w:t>
            </w:r>
          </w:p>
        </w:tc>
        <w:tc>
          <w:tcPr>
            <w:tcW w:w="687" w:type="pct"/>
            <w:vAlign w:val="center"/>
          </w:tcPr>
          <w:p w14:paraId="577A71C4">
            <w:pPr>
              <w:ind w:firstLine="0" w:firstLineChars="0"/>
              <w:jc w:val="center"/>
              <w:rPr>
                <w:sz w:val="18"/>
              </w:rPr>
            </w:pPr>
            <w:r>
              <w:rPr>
                <w:rFonts w:hint="eastAsia"/>
                <w:sz w:val="18"/>
              </w:rPr>
              <w:t>0.64</w:t>
            </w:r>
          </w:p>
        </w:tc>
        <w:tc>
          <w:tcPr>
            <w:tcW w:w="681" w:type="pct"/>
            <w:vAlign w:val="center"/>
          </w:tcPr>
          <w:p w14:paraId="0F6B4D50">
            <w:pPr>
              <w:ind w:firstLine="0" w:firstLineChars="0"/>
              <w:jc w:val="center"/>
              <w:rPr>
                <w:sz w:val="18"/>
              </w:rPr>
            </w:pPr>
            <w:r>
              <w:rPr>
                <w:rFonts w:hint="eastAsia"/>
                <w:sz w:val="18"/>
              </w:rPr>
              <w:t>8.9%</w:t>
            </w:r>
          </w:p>
        </w:tc>
      </w:tr>
      <w:tr w14:paraId="7B178A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jc w:val="center"/>
        </w:trPr>
        <w:tc>
          <w:tcPr>
            <w:tcW w:w="1053" w:type="pct"/>
            <w:vAlign w:val="center"/>
          </w:tcPr>
          <w:p w14:paraId="65A7C9E7">
            <w:pPr>
              <w:ind w:firstLine="0" w:firstLineChars="0"/>
              <w:jc w:val="center"/>
              <w:rPr>
                <w:sz w:val="18"/>
              </w:rPr>
            </w:pPr>
            <w:r>
              <w:rPr>
                <w:rFonts w:hint="eastAsia"/>
                <w:sz w:val="18"/>
              </w:rPr>
              <w:t>w/o OCR</w:t>
            </w:r>
          </w:p>
        </w:tc>
        <w:tc>
          <w:tcPr>
            <w:tcW w:w="681" w:type="pct"/>
            <w:vAlign w:val="center"/>
          </w:tcPr>
          <w:p w14:paraId="70F9957B">
            <w:pPr>
              <w:ind w:firstLine="0" w:firstLineChars="0"/>
              <w:jc w:val="center"/>
              <w:rPr>
                <w:sz w:val="18"/>
              </w:rPr>
            </w:pPr>
            <w:r>
              <w:rPr>
                <w:rFonts w:hint="eastAsia"/>
                <w:sz w:val="18"/>
              </w:rPr>
              <w:t>83.9%</w:t>
            </w:r>
          </w:p>
        </w:tc>
        <w:tc>
          <w:tcPr>
            <w:tcW w:w="681" w:type="pct"/>
            <w:vAlign w:val="center"/>
          </w:tcPr>
          <w:p w14:paraId="31E88579">
            <w:pPr>
              <w:ind w:firstLine="0" w:firstLineChars="0"/>
              <w:jc w:val="center"/>
              <w:rPr>
                <w:sz w:val="18"/>
              </w:rPr>
            </w:pPr>
            <w:r>
              <w:rPr>
                <w:rFonts w:hint="eastAsia"/>
                <w:sz w:val="18"/>
              </w:rPr>
              <w:t>75.2%</w:t>
            </w:r>
          </w:p>
        </w:tc>
        <w:tc>
          <w:tcPr>
            <w:tcW w:w="681" w:type="pct"/>
            <w:vAlign w:val="center"/>
          </w:tcPr>
          <w:p w14:paraId="40553B1D">
            <w:pPr>
              <w:ind w:firstLine="0" w:firstLineChars="0"/>
              <w:jc w:val="center"/>
              <w:rPr>
                <w:sz w:val="18"/>
              </w:rPr>
            </w:pPr>
            <w:r>
              <w:rPr>
                <w:rFonts w:hint="eastAsia"/>
                <w:sz w:val="18"/>
              </w:rPr>
              <w:t>16.1%</w:t>
            </w:r>
          </w:p>
        </w:tc>
        <w:tc>
          <w:tcPr>
            <w:tcW w:w="532" w:type="pct"/>
            <w:vAlign w:val="center"/>
          </w:tcPr>
          <w:p w14:paraId="20C99E4E">
            <w:pPr>
              <w:ind w:firstLine="0" w:firstLineChars="0"/>
              <w:jc w:val="center"/>
              <w:rPr>
                <w:sz w:val="18"/>
              </w:rPr>
            </w:pPr>
            <w:r>
              <w:rPr>
                <w:rFonts w:hint="eastAsia"/>
                <w:sz w:val="18"/>
              </w:rPr>
              <w:t>20.1</w:t>
            </w:r>
          </w:p>
        </w:tc>
        <w:tc>
          <w:tcPr>
            <w:tcW w:w="687" w:type="pct"/>
            <w:vAlign w:val="center"/>
          </w:tcPr>
          <w:p w14:paraId="71CAD6D9">
            <w:pPr>
              <w:ind w:firstLine="0" w:firstLineChars="0"/>
              <w:jc w:val="center"/>
              <w:rPr>
                <w:sz w:val="18"/>
              </w:rPr>
            </w:pPr>
            <w:r>
              <w:rPr>
                <w:rFonts w:hint="eastAsia"/>
                <w:sz w:val="18"/>
              </w:rPr>
              <w:t>0.66</w:t>
            </w:r>
          </w:p>
        </w:tc>
        <w:tc>
          <w:tcPr>
            <w:tcW w:w="681" w:type="pct"/>
            <w:vAlign w:val="center"/>
          </w:tcPr>
          <w:p w14:paraId="0DA12BBC">
            <w:pPr>
              <w:ind w:firstLine="0" w:firstLineChars="0"/>
              <w:jc w:val="center"/>
              <w:rPr>
                <w:sz w:val="18"/>
              </w:rPr>
            </w:pPr>
            <w:r>
              <w:rPr>
                <w:rFonts w:hint="eastAsia"/>
                <w:sz w:val="18"/>
              </w:rPr>
              <w:t>8.2%</w:t>
            </w:r>
          </w:p>
        </w:tc>
      </w:tr>
      <w:tr w14:paraId="24F080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jc w:val="center"/>
        </w:trPr>
        <w:tc>
          <w:tcPr>
            <w:tcW w:w="1053" w:type="pct"/>
            <w:vAlign w:val="center"/>
          </w:tcPr>
          <w:p w14:paraId="511C2FF1">
            <w:pPr>
              <w:ind w:firstLine="0" w:firstLineChars="0"/>
              <w:jc w:val="center"/>
              <w:rPr>
                <w:sz w:val="18"/>
              </w:rPr>
            </w:pPr>
            <w:r>
              <w:rPr>
                <w:rFonts w:hint="eastAsia"/>
                <w:sz w:val="18"/>
              </w:rPr>
              <w:t>w/o Topology</w:t>
            </w:r>
          </w:p>
        </w:tc>
        <w:tc>
          <w:tcPr>
            <w:tcW w:w="681" w:type="pct"/>
            <w:vAlign w:val="center"/>
          </w:tcPr>
          <w:p w14:paraId="416823DE">
            <w:pPr>
              <w:ind w:firstLine="0" w:firstLineChars="0"/>
              <w:jc w:val="center"/>
              <w:rPr>
                <w:sz w:val="18"/>
              </w:rPr>
            </w:pPr>
            <w:r>
              <w:rPr>
                <w:rFonts w:hint="eastAsia"/>
                <w:sz w:val="18"/>
              </w:rPr>
              <w:t>85.7%</w:t>
            </w:r>
          </w:p>
        </w:tc>
        <w:tc>
          <w:tcPr>
            <w:tcW w:w="681" w:type="pct"/>
            <w:vAlign w:val="center"/>
          </w:tcPr>
          <w:p w14:paraId="5334C407">
            <w:pPr>
              <w:ind w:firstLine="0" w:firstLineChars="0"/>
              <w:jc w:val="center"/>
              <w:rPr>
                <w:sz w:val="18"/>
              </w:rPr>
            </w:pPr>
            <w:r>
              <w:rPr>
                <w:rFonts w:hint="eastAsia"/>
                <w:sz w:val="18"/>
              </w:rPr>
              <w:t>77.8%</w:t>
            </w:r>
          </w:p>
        </w:tc>
        <w:tc>
          <w:tcPr>
            <w:tcW w:w="681" w:type="pct"/>
            <w:vAlign w:val="center"/>
          </w:tcPr>
          <w:p w14:paraId="2A512C37">
            <w:pPr>
              <w:ind w:firstLine="0" w:firstLineChars="0"/>
              <w:jc w:val="center"/>
              <w:rPr>
                <w:sz w:val="18"/>
              </w:rPr>
            </w:pPr>
            <w:r>
              <w:rPr>
                <w:rFonts w:hint="eastAsia"/>
                <w:sz w:val="18"/>
              </w:rPr>
              <w:t>14.3%</w:t>
            </w:r>
          </w:p>
        </w:tc>
        <w:tc>
          <w:tcPr>
            <w:tcW w:w="532" w:type="pct"/>
            <w:vAlign w:val="center"/>
          </w:tcPr>
          <w:p w14:paraId="071A147F">
            <w:pPr>
              <w:ind w:firstLine="0" w:firstLineChars="0"/>
              <w:jc w:val="center"/>
              <w:rPr>
                <w:sz w:val="18"/>
              </w:rPr>
            </w:pPr>
            <w:r>
              <w:rPr>
                <w:rFonts w:hint="eastAsia"/>
                <w:sz w:val="18"/>
              </w:rPr>
              <w:t>21.7</w:t>
            </w:r>
          </w:p>
        </w:tc>
        <w:tc>
          <w:tcPr>
            <w:tcW w:w="687" w:type="pct"/>
            <w:vAlign w:val="center"/>
          </w:tcPr>
          <w:p w14:paraId="0E910FCD">
            <w:pPr>
              <w:ind w:firstLine="0" w:firstLineChars="0"/>
              <w:jc w:val="center"/>
              <w:rPr>
                <w:sz w:val="18"/>
              </w:rPr>
            </w:pPr>
            <w:r>
              <w:rPr>
                <w:rFonts w:hint="eastAsia"/>
                <w:sz w:val="18"/>
              </w:rPr>
              <w:t>0.56</w:t>
            </w:r>
          </w:p>
        </w:tc>
        <w:tc>
          <w:tcPr>
            <w:tcW w:w="681" w:type="pct"/>
            <w:vAlign w:val="center"/>
          </w:tcPr>
          <w:p w14:paraId="6E17DFC5">
            <w:pPr>
              <w:ind w:firstLine="0" w:firstLineChars="0"/>
              <w:jc w:val="center"/>
              <w:rPr>
                <w:sz w:val="18"/>
              </w:rPr>
            </w:pPr>
            <w:r>
              <w:rPr>
                <w:rFonts w:hint="eastAsia"/>
                <w:sz w:val="18"/>
              </w:rPr>
              <w:t>11.8%</w:t>
            </w:r>
          </w:p>
        </w:tc>
      </w:tr>
      <w:tr w14:paraId="614617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jc w:val="center"/>
        </w:trPr>
        <w:tc>
          <w:tcPr>
            <w:tcW w:w="1053" w:type="pct"/>
          </w:tcPr>
          <w:p w14:paraId="397F8D8A">
            <w:pPr>
              <w:ind w:firstLine="0" w:firstLineChars="0"/>
              <w:jc w:val="center"/>
              <w:rPr>
                <w:sz w:val="18"/>
              </w:rPr>
            </w:pPr>
            <w:r>
              <w:rPr>
                <w:rFonts w:hint="eastAsia"/>
                <w:sz w:val="18"/>
              </w:rPr>
              <w:t>FlashGlyph</w:t>
            </w:r>
          </w:p>
        </w:tc>
        <w:tc>
          <w:tcPr>
            <w:tcW w:w="681" w:type="pct"/>
          </w:tcPr>
          <w:p w14:paraId="6D65C072">
            <w:pPr>
              <w:ind w:firstLine="0" w:firstLineChars="0"/>
              <w:jc w:val="center"/>
              <w:rPr>
                <w:sz w:val="18"/>
              </w:rPr>
            </w:pPr>
            <w:r>
              <w:rPr>
                <w:rFonts w:hint="eastAsia"/>
                <w:sz w:val="18"/>
              </w:rPr>
              <w:t>87.1%</w:t>
            </w:r>
          </w:p>
        </w:tc>
        <w:tc>
          <w:tcPr>
            <w:tcW w:w="681" w:type="pct"/>
          </w:tcPr>
          <w:p w14:paraId="7394C308">
            <w:pPr>
              <w:ind w:firstLine="0" w:firstLineChars="0"/>
              <w:jc w:val="center"/>
              <w:rPr>
                <w:sz w:val="18"/>
              </w:rPr>
            </w:pPr>
            <w:r>
              <w:rPr>
                <w:rFonts w:hint="eastAsia"/>
                <w:sz w:val="18"/>
              </w:rPr>
              <w:t>78.9%</w:t>
            </w:r>
          </w:p>
        </w:tc>
        <w:tc>
          <w:tcPr>
            <w:tcW w:w="681" w:type="pct"/>
          </w:tcPr>
          <w:p w14:paraId="2D0B0038">
            <w:pPr>
              <w:ind w:firstLine="0" w:firstLineChars="0"/>
              <w:jc w:val="center"/>
              <w:rPr>
                <w:sz w:val="18"/>
              </w:rPr>
            </w:pPr>
            <w:r>
              <w:rPr>
                <w:rFonts w:hint="eastAsia"/>
                <w:sz w:val="18"/>
              </w:rPr>
              <w:t>12.9%</w:t>
            </w:r>
          </w:p>
        </w:tc>
        <w:tc>
          <w:tcPr>
            <w:tcW w:w="532" w:type="pct"/>
          </w:tcPr>
          <w:p w14:paraId="1A1436FE">
            <w:pPr>
              <w:ind w:firstLine="0" w:firstLineChars="0"/>
              <w:jc w:val="center"/>
              <w:rPr>
                <w:sz w:val="18"/>
              </w:rPr>
            </w:pPr>
            <w:r>
              <w:rPr>
                <w:rFonts w:hint="eastAsia"/>
                <w:sz w:val="18"/>
              </w:rPr>
              <w:t>19.2</w:t>
            </w:r>
          </w:p>
        </w:tc>
        <w:tc>
          <w:tcPr>
            <w:tcW w:w="687" w:type="pct"/>
          </w:tcPr>
          <w:p w14:paraId="148E6F2A">
            <w:pPr>
              <w:ind w:firstLine="0" w:firstLineChars="0"/>
              <w:jc w:val="center"/>
              <w:rPr>
                <w:sz w:val="18"/>
              </w:rPr>
            </w:pPr>
            <w:r>
              <w:rPr>
                <w:rFonts w:hint="eastAsia"/>
                <w:sz w:val="18"/>
              </w:rPr>
              <w:t>0.68</w:t>
            </w:r>
          </w:p>
        </w:tc>
        <w:tc>
          <w:tcPr>
            <w:tcW w:w="681" w:type="pct"/>
          </w:tcPr>
          <w:p w14:paraId="374B5D46">
            <w:pPr>
              <w:ind w:firstLine="0" w:firstLineChars="0"/>
              <w:jc w:val="center"/>
              <w:rPr>
                <w:sz w:val="18"/>
              </w:rPr>
            </w:pPr>
            <w:r>
              <w:rPr>
                <w:rFonts w:hint="eastAsia"/>
                <w:sz w:val="18"/>
              </w:rPr>
              <w:t>7.3%</w:t>
            </w:r>
          </w:p>
        </w:tc>
      </w:tr>
    </w:tbl>
    <w:p w14:paraId="58EF38A5">
      <w:pPr>
        <w:pStyle w:val="105"/>
        <w:spacing w:before="156"/>
      </w:pPr>
      <w:r>
        <w:t>表</w:t>
      </w:r>
      <w:r>
        <w:rPr>
          <w:rFonts w:hint="eastAsia"/>
        </w:rPr>
        <w:t>2</w:t>
      </w:r>
      <w:r>
        <w:t xml:space="preserve">b </w:t>
      </w:r>
      <w:r>
        <w:rPr>
          <w:rFonts w:hint="eastAsia"/>
        </w:rPr>
        <w:t>英文</w:t>
      </w:r>
      <w:r>
        <w:t>测试集组件消融结果</w:t>
      </w:r>
    </w:p>
    <w:tbl>
      <w:tblPr>
        <w:tblStyle w:val="40"/>
        <w:tblW w:w="5206" w:type="pct"/>
        <w:tblInd w:w="-11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17"/>
        <w:gridCol w:w="656"/>
        <w:gridCol w:w="657"/>
        <w:gridCol w:w="657"/>
        <w:gridCol w:w="514"/>
        <w:gridCol w:w="671"/>
        <w:gridCol w:w="659"/>
      </w:tblGrid>
      <w:tr w14:paraId="520712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795" w:hRule="atLeast"/>
          <w:tblHeader/>
        </w:trPr>
        <w:tc>
          <w:tcPr>
            <w:tcW w:w="1054" w:type="pct"/>
            <w:tcBorders>
              <w:top w:val="single" w:color="auto" w:sz="12" w:space="0"/>
              <w:bottom w:val="single" w:color="auto" w:sz="12" w:space="0"/>
            </w:tcBorders>
            <w:vAlign w:val="center"/>
          </w:tcPr>
          <w:p w14:paraId="6C5CF37F">
            <w:pPr>
              <w:ind w:firstLine="0" w:firstLineChars="0"/>
              <w:jc w:val="center"/>
              <w:rPr>
                <w:sz w:val="18"/>
              </w:rPr>
            </w:pPr>
            <w:r>
              <w:rPr>
                <w:rFonts w:hint="eastAsia"/>
                <w:sz w:val="18"/>
              </w:rPr>
              <w:t>变体</w:t>
            </w:r>
          </w:p>
        </w:tc>
        <w:tc>
          <w:tcPr>
            <w:tcW w:w="680" w:type="pct"/>
            <w:tcBorders>
              <w:top w:val="single" w:color="auto" w:sz="12" w:space="0"/>
              <w:bottom w:val="single" w:color="auto" w:sz="12" w:space="0"/>
            </w:tcBorders>
            <w:vAlign w:val="center"/>
          </w:tcPr>
          <w:p w14:paraId="44F63C02">
            <w:pPr>
              <w:ind w:firstLine="0" w:firstLineChars="0"/>
              <w:jc w:val="center"/>
              <w:rPr>
                <w:sz w:val="18"/>
              </w:rPr>
            </w:pPr>
            <w:r>
              <w:rPr>
                <w:rFonts w:hint="eastAsia"/>
                <w:sz w:val="18"/>
              </w:rPr>
              <w:t>Char Acc↑</w:t>
            </w:r>
          </w:p>
        </w:tc>
        <w:tc>
          <w:tcPr>
            <w:tcW w:w="681" w:type="pct"/>
            <w:tcBorders>
              <w:top w:val="single" w:color="auto" w:sz="12" w:space="0"/>
              <w:bottom w:val="single" w:color="auto" w:sz="12" w:space="0"/>
            </w:tcBorders>
            <w:vAlign w:val="center"/>
          </w:tcPr>
          <w:p w14:paraId="3568EFB8">
            <w:pPr>
              <w:ind w:firstLine="0" w:firstLineChars="0"/>
              <w:jc w:val="center"/>
              <w:rPr>
                <w:sz w:val="18"/>
              </w:rPr>
            </w:pPr>
            <w:r>
              <w:rPr>
                <w:rFonts w:hint="eastAsia"/>
                <w:sz w:val="18"/>
              </w:rPr>
              <w:t>Word Acc↑</w:t>
            </w:r>
          </w:p>
        </w:tc>
        <w:tc>
          <w:tcPr>
            <w:tcW w:w="681" w:type="pct"/>
            <w:tcBorders>
              <w:top w:val="single" w:color="auto" w:sz="12" w:space="0"/>
              <w:bottom w:val="single" w:color="auto" w:sz="12" w:space="0"/>
            </w:tcBorders>
            <w:vAlign w:val="center"/>
          </w:tcPr>
          <w:p w14:paraId="15C13B44">
            <w:pPr>
              <w:ind w:firstLine="0" w:firstLineChars="0"/>
              <w:jc w:val="center"/>
              <w:rPr>
                <w:sz w:val="18"/>
              </w:rPr>
            </w:pPr>
            <w:r>
              <w:rPr>
                <w:rFonts w:hint="eastAsia"/>
                <w:sz w:val="18"/>
              </w:rPr>
              <w:t>CER↓</w:t>
            </w:r>
          </w:p>
        </w:tc>
        <w:tc>
          <w:tcPr>
            <w:tcW w:w="533" w:type="pct"/>
            <w:tcBorders>
              <w:top w:val="single" w:color="auto" w:sz="12" w:space="0"/>
              <w:bottom w:val="single" w:color="auto" w:sz="12" w:space="0"/>
            </w:tcBorders>
            <w:vAlign w:val="center"/>
          </w:tcPr>
          <w:p w14:paraId="310B55E1">
            <w:pPr>
              <w:ind w:firstLine="0" w:firstLineChars="0"/>
              <w:jc w:val="center"/>
              <w:rPr>
                <w:sz w:val="18"/>
              </w:rPr>
            </w:pPr>
            <w:r>
              <w:rPr>
                <w:rFonts w:hint="eastAsia"/>
                <w:sz w:val="18"/>
              </w:rPr>
              <w:t>FID↓</w:t>
            </w:r>
          </w:p>
        </w:tc>
        <w:tc>
          <w:tcPr>
            <w:tcW w:w="689" w:type="pct"/>
            <w:tcBorders>
              <w:top w:val="single" w:color="auto" w:sz="12" w:space="0"/>
              <w:bottom w:val="single" w:color="auto" w:sz="12" w:space="0"/>
            </w:tcBorders>
            <w:vAlign w:val="center"/>
          </w:tcPr>
          <w:p w14:paraId="1AEA58BB">
            <w:pPr>
              <w:ind w:firstLine="0" w:firstLineChars="0"/>
              <w:jc w:val="center"/>
              <w:rPr>
                <w:sz w:val="18"/>
              </w:rPr>
            </w:pPr>
            <w:r>
              <w:rPr>
                <w:rFonts w:hint="eastAsia"/>
                <w:sz w:val="18"/>
              </w:rPr>
              <w:t>clDice↑</w:t>
            </w:r>
          </w:p>
        </w:tc>
        <w:tc>
          <w:tcPr>
            <w:tcW w:w="682" w:type="pct"/>
            <w:tcBorders>
              <w:top w:val="single" w:color="auto" w:sz="12" w:space="0"/>
              <w:bottom w:val="single" w:color="auto" w:sz="12" w:space="0"/>
            </w:tcBorders>
            <w:vAlign w:val="center"/>
          </w:tcPr>
          <w:p w14:paraId="2B5AB60E">
            <w:pPr>
              <w:ind w:firstLine="0" w:firstLineChars="0"/>
              <w:jc w:val="center"/>
              <w:rPr>
                <w:sz w:val="18"/>
              </w:rPr>
            </w:pPr>
            <w:r>
              <w:rPr>
                <w:rFonts w:hint="eastAsia"/>
                <w:sz w:val="18"/>
              </w:rPr>
              <w:t>结构崩溃率↓</w:t>
            </w:r>
          </w:p>
        </w:tc>
      </w:tr>
      <w:tr w14:paraId="08A92F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trPr>
        <w:tc>
          <w:tcPr>
            <w:tcW w:w="1054" w:type="pct"/>
            <w:tcBorders>
              <w:top w:val="single" w:color="auto" w:sz="12" w:space="0"/>
            </w:tcBorders>
            <w:vAlign w:val="center"/>
          </w:tcPr>
          <w:p w14:paraId="74690289">
            <w:pPr>
              <w:ind w:firstLine="0" w:firstLineChars="0"/>
              <w:jc w:val="center"/>
              <w:rPr>
                <w:sz w:val="18"/>
              </w:rPr>
            </w:pPr>
            <w:r>
              <w:rPr>
                <w:rFonts w:hint="eastAsia"/>
                <w:sz w:val="18"/>
              </w:rPr>
              <w:t>LCM baseline</w:t>
            </w:r>
          </w:p>
        </w:tc>
        <w:tc>
          <w:tcPr>
            <w:tcW w:w="680" w:type="pct"/>
            <w:tcBorders>
              <w:top w:val="single" w:color="auto" w:sz="12" w:space="0"/>
            </w:tcBorders>
            <w:vAlign w:val="center"/>
          </w:tcPr>
          <w:p w14:paraId="7B932738">
            <w:pPr>
              <w:ind w:firstLine="0" w:firstLineChars="0"/>
              <w:jc w:val="center"/>
              <w:rPr>
                <w:sz w:val="18"/>
              </w:rPr>
            </w:pPr>
            <w:r>
              <w:rPr>
                <w:rFonts w:hint="eastAsia"/>
                <w:sz w:val="18"/>
              </w:rPr>
              <w:t>82.4%</w:t>
            </w:r>
          </w:p>
        </w:tc>
        <w:tc>
          <w:tcPr>
            <w:tcW w:w="681" w:type="pct"/>
            <w:tcBorders>
              <w:top w:val="single" w:color="auto" w:sz="12" w:space="0"/>
            </w:tcBorders>
            <w:vAlign w:val="center"/>
          </w:tcPr>
          <w:p w14:paraId="57548D72">
            <w:pPr>
              <w:ind w:firstLine="0" w:firstLineChars="0"/>
              <w:jc w:val="center"/>
              <w:rPr>
                <w:sz w:val="18"/>
              </w:rPr>
            </w:pPr>
            <w:r>
              <w:rPr>
                <w:rFonts w:hint="eastAsia"/>
                <w:sz w:val="18"/>
              </w:rPr>
              <w:t>73.7%</w:t>
            </w:r>
          </w:p>
        </w:tc>
        <w:tc>
          <w:tcPr>
            <w:tcW w:w="681" w:type="pct"/>
            <w:tcBorders>
              <w:top w:val="single" w:color="auto" w:sz="12" w:space="0"/>
            </w:tcBorders>
            <w:vAlign w:val="center"/>
          </w:tcPr>
          <w:p w14:paraId="61C3433A">
            <w:pPr>
              <w:ind w:firstLine="0" w:firstLineChars="0"/>
              <w:jc w:val="center"/>
              <w:rPr>
                <w:sz w:val="18"/>
              </w:rPr>
            </w:pPr>
            <w:r>
              <w:rPr>
                <w:rFonts w:hint="eastAsia"/>
                <w:sz w:val="18"/>
              </w:rPr>
              <w:t>17.6%</w:t>
            </w:r>
          </w:p>
        </w:tc>
        <w:tc>
          <w:tcPr>
            <w:tcW w:w="533" w:type="pct"/>
            <w:tcBorders>
              <w:top w:val="single" w:color="auto" w:sz="12" w:space="0"/>
            </w:tcBorders>
            <w:vAlign w:val="center"/>
          </w:tcPr>
          <w:p w14:paraId="1AF6E8BB">
            <w:pPr>
              <w:ind w:firstLine="0" w:firstLineChars="0"/>
              <w:jc w:val="center"/>
              <w:rPr>
                <w:sz w:val="18"/>
              </w:rPr>
            </w:pPr>
            <w:r>
              <w:rPr>
                <w:rFonts w:hint="eastAsia"/>
                <w:sz w:val="18"/>
              </w:rPr>
              <w:t>20.8</w:t>
            </w:r>
          </w:p>
        </w:tc>
        <w:tc>
          <w:tcPr>
            <w:tcW w:w="689" w:type="pct"/>
            <w:tcBorders>
              <w:top w:val="single" w:color="auto" w:sz="12" w:space="0"/>
            </w:tcBorders>
            <w:vAlign w:val="center"/>
          </w:tcPr>
          <w:p w14:paraId="0D4B0D8D">
            <w:pPr>
              <w:ind w:firstLine="0" w:firstLineChars="0"/>
              <w:jc w:val="center"/>
              <w:rPr>
                <w:sz w:val="18"/>
              </w:rPr>
            </w:pPr>
            <w:r>
              <w:rPr>
                <w:rFonts w:hint="eastAsia"/>
                <w:sz w:val="18"/>
              </w:rPr>
              <w:t>0.54</w:t>
            </w:r>
          </w:p>
        </w:tc>
        <w:tc>
          <w:tcPr>
            <w:tcW w:w="682" w:type="pct"/>
            <w:tcBorders>
              <w:top w:val="single" w:color="auto" w:sz="12" w:space="0"/>
            </w:tcBorders>
            <w:vAlign w:val="center"/>
          </w:tcPr>
          <w:p w14:paraId="135395DE">
            <w:pPr>
              <w:ind w:firstLine="0" w:firstLineChars="0"/>
              <w:jc w:val="center"/>
              <w:rPr>
                <w:sz w:val="18"/>
              </w:rPr>
            </w:pPr>
            <w:r>
              <w:rPr>
                <w:rFonts w:hint="eastAsia"/>
                <w:sz w:val="18"/>
              </w:rPr>
              <w:t>16.3%</w:t>
            </w:r>
          </w:p>
        </w:tc>
      </w:tr>
      <w:tr w14:paraId="3693DC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trPr>
        <w:tc>
          <w:tcPr>
            <w:tcW w:w="1054" w:type="pct"/>
            <w:vAlign w:val="center"/>
          </w:tcPr>
          <w:p w14:paraId="5D940B7F">
            <w:pPr>
              <w:ind w:firstLine="0" w:firstLineChars="0"/>
              <w:jc w:val="center"/>
              <w:rPr>
                <w:sz w:val="18"/>
              </w:rPr>
            </w:pPr>
            <w:r>
              <w:rPr>
                <w:rFonts w:hint="eastAsia"/>
                <w:sz w:val="18"/>
              </w:rPr>
              <w:t>w/o Alignment</w:t>
            </w:r>
          </w:p>
        </w:tc>
        <w:tc>
          <w:tcPr>
            <w:tcW w:w="680" w:type="pct"/>
            <w:vAlign w:val="center"/>
          </w:tcPr>
          <w:p w14:paraId="1389FE33">
            <w:pPr>
              <w:ind w:firstLine="0" w:firstLineChars="0"/>
              <w:jc w:val="center"/>
              <w:rPr>
                <w:sz w:val="18"/>
              </w:rPr>
            </w:pPr>
            <w:r>
              <w:rPr>
                <w:rFonts w:hint="eastAsia"/>
                <w:sz w:val="18"/>
              </w:rPr>
              <w:t>86.6%</w:t>
            </w:r>
          </w:p>
        </w:tc>
        <w:tc>
          <w:tcPr>
            <w:tcW w:w="681" w:type="pct"/>
            <w:vAlign w:val="center"/>
          </w:tcPr>
          <w:p w14:paraId="2FE9B60E">
            <w:pPr>
              <w:ind w:firstLine="0" w:firstLineChars="0"/>
              <w:jc w:val="center"/>
              <w:rPr>
                <w:sz w:val="18"/>
              </w:rPr>
            </w:pPr>
            <w:r>
              <w:rPr>
                <w:rFonts w:hint="eastAsia"/>
                <w:sz w:val="18"/>
              </w:rPr>
              <w:t>78.8%</w:t>
            </w:r>
          </w:p>
        </w:tc>
        <w:tc>
          <w:tcPr>
            <w:tcW w:w="681" w:type="pct"/>
            <w:vAlign w:val="center"/>
          </w:tcPr>
          <w:p w14:paraId="33FA1486">
            <w:pPr>
              <w:ind w:firstLine="0" w:firstLineChars="0"/>
              <w:jc w:val="center"/>
              <w:rPr>
                <w:sz w:val="18"/>
              </w:rPr>
            </w:pPr>
            <w:r>
              <w:rPr>
                <w:rFonts w:hint="eastAsia"/>
                <w:sz w:val="18"/>
              </w:rPr>
              <w:t>12.4%</w:t>
            </w:r>
          </w:p>
        </w:tc>
        <w:tc>
          <w:tcPr>
            <w:tcW w:w="533" w:type="pct"/>
            <w:vAlign w:val="center"/>
          </w:tcPr>
          <w:p w14:paraId="1BF21F90">
            <w:pPr>
              <w:ind w:firstLine="0" w:firstLineChars="0"/>
              <w:jc w:val="center"/>
              <w:rPr>
                <w:sz w:val="18"/>
              </w:rPr>
            </w:pPr>
            <w:r>
              <w:rPr>
                <w:rFonts w:hint="eastAsia"/>
                <w:sz w:val="18"/>
              </w:rPr>
              <w:t>18.7</w:t>
            </w:r>
          </w:p>
        </w:tc>
        <w:tc>
          <w:tcPr>
            <w:tcW w:w="689" w:type="pct"/>
            <w:vAlign w:val="center"/>
          </w:tcPr>
          <w:p w14:paraId="32B1AAB5">
            <w:pPr>
              <w:ind w:firstLine="0" w:firstLineChars="0"/>
              <w:jc w:val="center"/>
              <w:rPr>
                <w:sz w:val="18"/>
              </w:rPr>
            </w:pPr>
            <w:r>
              <w:rPr>
                <w:rFonts w:hint="eastAsia"/>
                <w:sz w:val="18"/>
              </w:rPr>
              <w:t>0.67</w:t>
            </w:r>
          </w:p>
        </w:tc>
        <w:tc>
          <w:tcPr>
            <w:tcW w:w="682" w:type="pct"/>
            <w:vAlign w:val="center"/>
          </w:tcPr>
          <w:p w14:paraId="64EEC1F6">
            <w:pPr>
              <w:ind w:firstLine="0" w:firstLineChars="0"/>
              <w:jc w:val="center"/>
              <w:rPr>
                <w:sz w:val="18"/>
              </w:rPr>
            </w:pPr>
            <w:r>
              <w:rPr>
                <w:rFonts w:hint="eastAsia"/>
                <w:sz w:val="18"/>
              </w:rPr>
              <w:t>7.5%</w:t>
            </w:r>
          </w:p>
        </w:tc>
      </w:tr>
      <w:tr w14:paraId="3797F2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trPr>
        <w:tc>
          <w:tcPr>
            <w:tcW w:w="1054" w:type="pct"/>
            <w:vAlign w:val="center"/>
          </w:tcPr>
          <w:p w14:paraId="618E37EC">
            <w:pPr>
              <w:ind w:firstLine="0" w:firstLineChars="0"/>
              <w:jc w:val="center"/>
              <w:rPr>
                <w:sz w:val="18"/>
              </w:rPr>
            </w:pPr>
            <w:r>
              <w:rPr>
                <w:rFonts w:hint="eastAsia"/>
                <w:sz w:val="18"/>
              </w:rPr>
              <w:t>w/o OCR</w:t>
            </w:r>
          </w:p>
        </w:tc>
        <w:tc>
          <w:tcPr>
            <w:tcW w:w="680" w:type="pct"/>
            <w:vAlign w:val="center"/>
          </w:tcPr>
          <w:p w14:paraId="280446CE">
            <w:pPr>
              <w:ind w:firstLine="0" w:firstLineChars="0"/>
              <w:jc w:val="center"/>
              <w:rPr>
                <w:sz w:val="18"/>
              </w:rPr>
            </w:pPr>
            <w:r>
              <w:rPr>
                <w:rFonts w:hint="eastAsia"/>
                <w:sz w:val="18"/>
              </w:rPr>
              <w:t>85.8%</w:t>
            </w:r>
          </w:p>
        </w:tc>
        <w:tc>
          <w:tcPr>
            <w:tcW w:w="681" w:type="pct"/>
            <w:vAlign w:val="center"/>
          </w:tcPr>
          <w:p w14:paraId="471D2028">
            <w:pPr>
              <w:ind w:firstLine="0" w:firstLineChars="0"/>
              <w:jc w:val="center"/>
              <w:rPr>
                <w:sz w:val="18"/>
              </w:rPr>
            </w:pPr>
            <w:r>
              <w:rPr>
                <w:rFonts w:hint="eastAsia"/>
                <w:sz w:val="18"/>
              </w:rPr>
              <w:t>77.6%</w:t>
            </w:r>
          </w:p>
        </w:tc>
        <w:tc>
          <w:tcPr>
            <w:tcW w:w="681" w:type="pct"/>
            <w:vAlign w:val="center"/>
          </w:tcPr>
          <w:p w14:paraId="436777C5">
            <w:pPr>
              <w:ind w:firstLine="0" w:firstLineChars="0"/>
              <w:jc w:val="center"/>
              <w:rPr>
                <w:sz w:val="18"/>
              </w:rPr>
            </w:pPr>
            <w:r>
              <w:rPr>
                <w:rFonts w:hint="eastAsia"/>
                <w:sz w:val="18"/>
              </w:rPr>
              <w:t>14.2%</w:t>
            </w:r>
          </w:p>
        </w:tc>
        <w:tc>
          <w:tcPr>
            <w:tcW w:w="533" w:type="pct"/>
            <w:vAlign w:val="center"/>
          </w:tcPr>
          <w:p w14:paraId="736AA737">
            <w:pPr>
              <w:ind w:firstLine="0" w:firstLineChars="0"/>
              <w:jc w:val="center"/>
              <w:rPr>
                <w:sz w:val="18"/>
              </w:rPr>
            </w:pPr>
            <w:r>
              <w:rPr>
                <w:rFonts w:hint="eastAsia"/>
                <w:sz w:val="18"/>
              </w:rPr>
              <w:t>18.2</w:t>
            </w:r>
          </w:p>
        </w:tc>
        <w:tc>
          <w:tcPr>
            <w:tcW w:w="689" w:type="pct"/>
            <w:vAlign w:val="center"/>
          </w:tcPr>
          <w:p w14:paraId="5D9DE356">
            <w:pPr>
              <w:ind w:firstLine="0" w:firstLineChars="0"/>
              <w:jc w:val="center"/>
              <w:rPr>
                <w:sz w:val="18"/>
              </w:rPr>
            </w:pPr>
            <w:r>
              <w:rPr>
                <w:rFonts w:hint="eastAsia"/>
                <w:sz w:val="18"/>
              </w:rPr>
              <w:t>0.69</w:t>
            </w:r>
          </w:p>
        </w:tc>
        <w:tc>
          <w:tcPr>
            <w:tcW w:w="682" w:type="pct"/>
            <w:vAlign w:val="center"/>
          </w:tcPr>
          <w:p w14:paraId="0D274BE9">
            <w:pPr>
              <w:ind w:firstLine="0" w:firstLineChars="0"/>
              <w:jc w:val="center"/>
              <w:rPr>
                <w:sz w:val="18"/>
              </w:rPr>
            </w:pPr>
            <w:r>
              <w:rPr>
                <w:rFonts w:hint="eastAsia"/>
                <w:sz w:val="18"/>
              </w:rPr>
              <w:t>7.0%</w:t>
            </w:r>
          </w:p>
        </w:tc>
      </w:tr>
      <w:tr w14:paraId="54278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trPr>
        <w:tc>
          <w:tcPr>
            <w:tcW w:w="1054" w:type="pct"/>
            <w:vAlign w:val="center"/>
          </w:tcPr>
          <w:p w14:paraId="5B327B97">
            <w:pPr>
              <w:ind w:firstLine="0" w:firstLineChars="0"/>
              <w:jc w:val="center"/>
              <w:rPr>
                <w:sz w:val="18"/>
              </w:rPr>
            </w:pPr>
            <w:r>
              <w:rPr>
                <w:rFonts w:hint="eastAsia"/>
                <w:sz w:val="18"/>
              </w:rPr>
              <w:t>w/o Topology</w:t>
            </w:r>
          </w:p>
        </w:tc>
        <w:tc>
          <w:tcPr>
            <w:tcW w:w="680" w:type="pct"/>
            <w:vAlign w:val="center"/>
          </w:tcPr>
          <w:p w14:paraId="3ABC487E">
            <w:pPr>
              <w:ind w:firstLine="0" w:firstLineChars="0"/>
              <w:jc w:val="center"/>
              <w:rPr>
                <w:sz w:val="18"/>
              </w:rPr>
            </w:pPr>
            <w:r>
              <w:rPr>
                <w:rFonts w:hint="eastAsia"/>
                <w:sz w:val="18"/>
              </w:rPr>
              <w:t>87.6%</w:t>
            </w:r>
          </w:p>
        </w:tc>
        <w:tc>
          <w:tcPr>
            <w:tcW w:w="681" w:type="pct"/>
            <w:vAlign w:val="center"/>
          </w:tcPr>
          <w:p w14:paraId="6435CE2E">
            <w:pPr>
              <w:ind w:firstLine="0" w:firstLineChars="0"/>
              <w:jc w:val="center"/>
              <w:rPr>
                <w:sz w:val="18"/>
              </w:rPr>
            </w:pPr>
            <w:r>
              <w:rPr>
                <w:rFonts w:hint="eastAsia"/>
                <w:sz w:val="18"/>
              </w:rPr>
              <w:t>80.1%</w:t>
            </w:r>
          </w:p>
        </w:tc>
        <w:tc>
          <w:tcPr>
            <w:tcW w:w="681" w:type="pct"/>
            <w:vAlign w:val="center"/>
          </w:tcPr>
          <w:p w14:paraId="7F33B4B1">
            <w:pPr>
              <w:ind w:firstLine="0" w:firstLineChars="0"/>
              <w:jc w:val="center"/>
              <w:rPr>
                <w:sz w:val="18"/>
              </w:rPr>
            </w:pPr>
            <w:r>
              <w:rPr>
                <w:rFonts w:hint="eastAsia"/>
                <w:sz w:val="18"/>
              </w:rPr>
              <w:t>12.4%</w:t>
            </w:r>
          </w:p>
        </w:tc>
        <w:tc>
          <w:tcPr>
            <w:tcW w:w="533" w:type="pct"/>
            <w:vAlign w:val="center"/>
          </w:tcPr>
          <w:p w14:paraId="7DA7DF69">
            <w:pPr>
              <w:ind w:firstLine="0" w:firstLineChars="0"/>
              <w:jc w:val="center"/>
              <w:rPr>
                <w:sz w:val="18"/>
              </w:rPr>
            </w:pPr>
            <w:r>
              <w:rPr>
                <w:rFonts w:hint="eastAsia"/>
                <w:sz w:val="18"/>
              </w:rPr>
              <w:t>19.6</w:t>
            </w:r>
          </w:p>
        </w:tc>
        <w:tc>
          <w:tcPr>
            <w:tcW w:w="689" w:type="pct"/>
            <w:vAlign w:val="center"/>
          </w:tcPr>
          <w:p w14:paraId="2C32BBC0">
            <w:pPr>
              <w:ind w:firstLine="0" w:firstLineChars="0"/>
              <w:jc w:val="center"/>
              <w:rPr>
                <w:sz w:val="18"/>
              </w:rPr>
            </w:pPr>
            <w:r>
              <w:rPr>
                <w:rFonts w:hint="eastAsia"/>
                <w:sz w:val="18"/>
              </w:rPr>
              <w:t>0.58</w:t>
            </w:r>
          </w:p>
        </w:tc>
        <w:tc>
          <w:tcPr>
            <w:tcW w:w="682" w:type="pct"/>
            <w:vAlign w:val="center"/>
          </w:tcPr>
          <w:p w14:paraId="3159914A">
            <w:pPr>
              <w:ind w:firstLine="0" w:firstLineChars="0"/>
              <w:jc w:val="center"/>
              <w:rPr>
                <w:sz w:val="18"/>
              </w:rPr>
            </w:pPr>
            <w:r>
              <w:rPr>
                <w:rFonts w:hint="eastAsia"/>
                <w:sz w:val="18"/>
              </w:rPr>
              <w:t>9.7%</w:t>
            </w:r>
          </w:p>
        </w:tc>
      </w:tr>
      <w:tr w14:paraId="2F285D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39" w:hRule="atLeast"/>
        </w:trPr>
        <w:tc>
          <w:tcPr>
            <w:tcW w:w="1054" w:type="pct"/>
          </w:tcPr>
          <w:p w14:paraId="0AFAE080">
            <w:pPr>
              <w:ind w:firstLine="0" w:firstLineChars="0"/>
              <w:jc w:val="center"/>
              <w:rPr>
                <w:sz w:val="18"/>
              </w:rPr>
            </w:pPr>
            <w:r>
              <w:rPr>
                <w:rFonts w:hint="eastAsia"/>
                <w:sz w:val="18"/>
              </w:rPr>
              <w:t>FlashGlyph</w:t>
            </w:r>
          </w:p>
        </w:tc>
        <w:tc>
          <w:tcPr>
            <w:tcW w:w="680" w:type="pct"/>
          </w:tcPr>
          <w:p w14:paraId="558343D9">
            <w:pPr>
              <w:ind w:firstLine="0" w:firstLineChars="0"/>
              <w:jc w:val="center"/>
              <w:rPr>
                <w:sz w:val="18"/>
              </w:rPr>
            </w:pPr>
            <w:r>
              <w:rPr>
                <w:rFonts w:hint="eastAsia"/>
                <w:sz w:val="18"/>
              </w:rPr>
              <w:t>88.9%</w:t>
            </w:r>
          </w:p>
        </w:tc>
        <w:tc>
          <w:tcPr>
            <w:tcW w:w="681" w:type="pct"/>
          </w:tcPr>
          <w:p w14:paraId="27CEC243">
            <w:pPr>
              <w:ind w:firstLine="0" w:firstLineChars="0"/>
              <w:jc w:val="center"/>
              <w:rPr>
                <w:sz w:val="18"/>
              </w:rPr>
            </w:pPr>
            <w:r>
              <w:rPr>
                <w:rFonts w:hint="eastAsia"/>
                <w:sz w:val="18"/>
              </w:rPr>
              <w:t>81.7%</w:t>
            </w:r>
          </w:p>
        </w:tc>
        <w:tc>
          <w:tcPr>
            <w:tcW w:w="681" w:type="pct"/>
          </w:tcPr>
          <w:p w14:paraId="41FF436E">
            <w:pPr>
              <w:ind w:firstLine="0" w:firstLineChars="0"/>
              <w:jc w:val="center"/>
              <w:rPr>
                <w:sz w:val="18"/>
              </w:rPr>
            </w:pPr>
            <w:r>
              <w:rPr>
                <w:rFonts w:hint="eastAsia"/>
                <w:sz w:val="18"/>
              </w:rPr>
              <w:t>11.1%</w:t>
            </w:r>
          </w:p>
        </w:tc>
        <w:tc>
          <w:tcPr>
            <w:tcW w:w="533" w:type="pct"/>
          </w:tcPr>
          <w:p w14:paraId="78CAAA8D">
            <w:pPr>
              <w:ind w:firstLine="0" w:firstLineChars="0"/>
              <w:jc w:val="center"/>
              <w:rPr>
                <w:sz w:val="18"/>
              </w:rPr>
            </w:pPr>
            <w:r>
              <w:rPr>
                <w:rFonts w:hint="eastAsia"/>
                <w:sz w:val="18"/>
              </w:rPr>
              <w:t>17.1</w:t>
            </w:r>
          </w:p>
        </w:tc>
        <w:tc>
          <w:tcPr>
            <w:tcW w:w="689" w:type="pct"/>
          </w:tcPr>
          <w:p w14:paraId="11FDCA07">
            <w:pPr>
              <w:ind w:firstLine="0" w:firstLineChars="0"/>
              <w:jc w:val="center"/>
              <w:rPr>
                <w:sz w:val="18"/>
              </w:rPr>
            </w:pPr>
            <w:r>
              <w:rPr>
                <w:rFonts w:hint="eastAsia"/>
                <w:sz w:val="18"/>
              </w:rPr>
              <w:t>0.70</w:t>
            </w:r>
          </w:p>
        </w:tc>
        <w:tc>
          <w:tcPr>
            <w:tcW w:w="682" w:type="pct"/>
          </w:tcPr>
          <w:p w14:paraId="503C2A1C">
            <w:pPr>
              <w:ind w:firstLine="0" w:firstLineChars="0"/>
              <w:jc w:val="center"/>
              <w:rPr>
                <w:sz w:val="18"/>
              </w:rPr>
            </w:pPr>
            <w:r>
              <w:rPr>
                <w:rFonts w:hint="eastAsia"/>
                <w:sz w:val="18"/>
              </w:rPr>
              <w:t>6.1%</w:t>
            </w:r>
          </w:p>
        </w:tc>
      </w:tr>
    </w:tbl>
    <w:p w14:paraId="4BED4C3D">
      <w:pPr>
        <w:ind w:firstLine="420"/>
      </w:pPr>
      <w:r>
        <w:t>表2a和表2b分别给出了中文与英文测试集上的组件消融结果。可以看到，与区域加权的一致性蒸馏baseline相比，完整模型FlashGlyph在Char Acc、Word Acc、CER、FID与clDice等指标上均取得了最优或近最优表现，同时具有最低的结构崩溃率，说明在一致性蒸馏基础上进一步引入面向可读性的结构化约束，能够有效缓解少步推理带来的可读性坍塌。另一方面，移除任一约束后，模型性能均出现不同程度下降，表明注意力对齐、OCR-CTC 语义监督与拓扑一致性约束对最终效果均具有非冗余贡献。</w:t>
      </w:r>
    </w:p>
    <w:p w14:paraId="6992A17D">
      <w:pPr>
        <w:ind w:firstLine="420"/>
      </w:pPr>
      <w:r>
        <w:t>从各模块的边际贡献来看，注意力对齐约束主要改善字符的空间稳定性。相较于移除该模块的变体，完整模型在Char Acc和结构崩溃率上均有更优表现，说明教师—学生Cross-Attention对齐能够有效减少字符漂移与重影。OCR-CTC语义监督主要提升字符序列的可识别性；移除该约束后，Char Acc与CER均明显退化，表明仅依赖一致性蒸馏难以充分抑制“形似而不可读”的伪字符。拓扑一致性约束则主要作用于细粒度笔画结构；移除该模块后，clDice与结构崩溃率均明显恶化，生成结果更易出现断笔、粘连与孔洞闭合等问题。总体而言，三项约束分别从空间对齐、字符语义和笔画拓扑三个维度共同提升了少步场景文本编辑的可读性。</w:t>
      </w:r>
    </w:p>
    <w:p w14:paraId="00A814A3">
      <w:pPr>
        <w:ind w:firstLine="0" w:firstLineChars="0"/>
        <w:jc w:val="center"/>
      </w:pPr>
      <w:r>
        <w:rPr>
          <w:rFonts w:hint="eastAsia"/>
        </w:rPr>
        <w:drawing>
          <wp:inline distT="0" distB="0" distL="114300" distR="114300">
            <wp:extent cx="2927350" cy="1212215"/>
            <wp:effectExtent l="0" t="0" r="6350" b="6985"/>
            <wp:docPr id="4" name="图片 4" descr="ablation_module_effectiveness_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blation_module_effectiveness_latest"/>
                    <pic:cNvPicPr>
                      <a:picLocks noChangeAspect="1"/>
                    </pic:cNvPicPr>
                  </pic:nvPicPr>
                  <pic:blipFill>
                    <a:blip r:embed="rId14"/>
                    <a:stretch>
                      <a:fillRect/>
                    </a:stretch>
                  </pic:blipFill>
                  <pic:spPr>
                    <a:xfrm>
                      <a:off x="0" y="0"/>
                      <a:ext cx="2927350" cy="1212215"/>
                    </a:xfrm>
                    <a:prstGeom prst="rect">
                      <a:avLst/>
                    </a:prstGeom>
                  </pic:spPr>
                </pic:pic>
              </a:graphicData>
            </a:graphic>
          </wp:inline>
        </w:drawing>
      </w:r>
    </w:p>
    <w:p w14:paraId="4B2C68BD">
      <w:pPr>
        <w:pStyle w:val="106"/>
        <w:spacing w:after="156"/>
      </w:pPr>
      <w:r>
        <w:t>图</w:t>
      </w:r>
      <w:r>
        <w:rPr>
          <w:rFonts w:hint="eastAsia"/>
        </w:rPr>
        <w:t xml:space="preserve">3 </w:t>
      </w:r>
      <w:r>
        <w:t>不同约束项对字符识别准确率的影响（中文/英文）</w:t>
      </w:r>
    </w:p>
    <w:p w14:paraId="0C3EA39A">
      <w:pPr>
        <w:ind w:firstLine="420"/>
      </w:pPr>
      <w:r>
        <w:t>图</w:t>
      </w:r>
      <w:r>
        <w:rPr>
          <w:rFonts w:hint="eastAsia"/>
        </w:rPr>
        <w:t>3</w:t>
      </w:r>
      <w:r>
        <w:t>给出了不同消融变体在中文与英文测试集上的Char Acc变化。可以看到，完整模型在两种语言设置下均取得最高的字符识别准确率，与表2中的定量结果一致。这进一步说明，三项约束并非冗余叠加，而是分别从空间定位、字符语义和笔画结构三个层面共同提升了少步场景文本编辑的可读性。</w:t>
      </w:r>
    </w:p>
    <w:p w14:paraId="27DEDE4B">
      <w:pPr>
        <w:pStyle w:val="2"/>
        <w:numPr>
          <w:ilvl w:val="0"/>
          <w:numId w:val="0"/>
        </w:numPr>
        <w:tabs>
          <w:tab w:val="clear" w:pos="425"/>
        </w:tabs>
        <w:spacing w:before="156" w:after="156"/>
        <w:rPr>
          <w:szCs w:val="28"/>
        </w:rPr>
      </w:pPr>
      <w:r>
        <w:rPr>
          <w:rFonts w:hint="eastAsia"/>
          <w:szCs w:val="28"/>
        </w:rPr>
        <w:t>4局限与讨论</w:t>
      </w:r>
    </w:p>
    <w:p w14:paraId="203A0879">
      <w:pPr>
        <w:ind w:firstLine="420"/>
      </w:pPr>
      <w:r>
        <w:t>尽管FlashGlyph在少步场景文本编辑中显著提升了文本区域的可读性与结构稳定性，但仍存在若干值得进一步讨论的局限。</w:t>
      </w:r>
    </w:p>
    <w:p w14:paraId="77F0F086">
      <w:pPr>
        <w:ind w:firstLine="420"/>
      </w:pPr>
      <w:r>
        <w:t>方法在一定程度上依赖控制信号的质量。例如，位置掩码或glyph条件若存在偏移、漏标或边界粗糙等问题，可能会直接影响注意力对齐与拓扑约束的作用区域。在这种情况下，模型可能对错误区域进行强化，从而造成局部过锐化或结构错误。如何在控制信号存在噪声时保持稳定性能，仍然是一个值得进一步研究的问题。</w:t>
      </w:r>
    </w:p>
    <w:p w14:paraId="714832D2">
      <w:pPr>
        <w:ind w:firstLine="420"/>
      </w:pPr>
      <w:r>
        <w:t>另一方面，OCR-CTC语义监督的效果也与所使用识别器的能力和词表范围有关。尽管本文在训练与测试阶段采用识别器解耦策略，并通过多识别器评测减轻偏置影响，但在复杂排版、长文本或低资源语言场景下，识别器监督仍可能限制模型的泛化能力。因此，更鲁棒或跨语言一致的语义监督方式仍有探索空间。</w:t>
      </w:r>
    </w:p>
    <w:p w14:paraId="79D2A316">
      <w:pPr>
        <w:ind w:firstLine="420"/>
      </w:pPr>
      <w:r>
        <w:t>在极少推理步数（如2–4步）的设置下，FlashGlyph优先保证文本区域的结构完整性和可读性，而背景纹理的精细度可能仍存在一定损失。这反映了少步生成中速度、可读性与视觉真实感之间的客观权衡关系。</w:t>
      </w:r>
    </w:p>
    <w:p w14:paraId="579C3FF6">
      <w:pPr>
        <w:ind w:firstLine="420"/>
        <w:rPr>
          <w:rFonts w:hint="eastAsia"/>
        </w:rPr>
      </w:pPr>
      <w:r>
        <w:t>此外，高效场景文本编辑技术本身也可能带来潜在滥用风险。例如，该类技术可能被用于篡改票据、路牌或界面截图中的文本信息，从而产生误导性内容。在实际系统部署中，引入水印、元数据签名或编辑记录机制，并提供相应的风险提示与合规说明，是值得考虑的方向。</w:t>
      </w:r>
    </w:p>
    <w:p w14:paraId="204EAC1E">
      <w:pPr>
        <w:pStyle w:val="2"/>
        <w:numPr>
          <w:ilvl w:val="0"/>
          <w:numId w:val="0"/>
        </w:numPr>
        <w:tabs>
          <w:tab w:val="clear" w:pos="425"/>
        </w:tabs>
        <w:spacing w:before="156" w:after="156"/>
      </w:pPr>
      <w:r>
        <w:rPr>
          <w:rFonts w:hint="eastAsia"/>
        </w:rPr>
        <w:t>5结论</w:t>
      </w:r>
    </w:p>
    <w:p w14:paraId="052DB605">
      <w:pPr>
        <w:ind w:firstLine="420"/>
      </w:pPr>
      <w:r>
        <w:t>本文提出FlashGlyph，一个面向场景文本编辑的可读性保持少步蒸馏框架。通过在LCM-LoRA一致性蒸馏基础上引入“对齐—语义—拓扑”三重约束，FlashGlyph能在4步推理下显著缓解少步蒸馏带来的位置漂移、伪字符与拓扑断裂等结构性退化问题，从而提升外部OCR可读性，并保持低延迟优势。未来工作将围绕跨语言泛化、控制信号噪声鲁棒性、端侧量化部署与更严格的可复现评测协议进一步展开。</w:t>
      </w:r>
    </w:p>
    <w:p w14:paraId="45AC9D5B">
      <w:pPr>
        <w:pStyle w:val="2"/>
        <w:numPr>
          <w:ilvl w:val="0"/>
          <w:numId w:val="0"/>
        </w:numPr>
        <w:tabs>
          <w:tab w:val="clear" w:pos="425"/>
        </w:tabs>
        <w:spacing w:before="156" w:after="156"/>
      </w:pPr>
      <w:r>
        <w:rPr>
          <w:rFonts w:hint="eastAsia"/>
        </w:rPr>
        <w:t>参考文献</w:t>
      </w:r>
    </w:p>
    <w:p w14:paraId="73E57CBF">
      <w:pPr>
        <w:pStyle w:val="17"/>
        <w:numPr>
          <w:ilvl w:val="0"/>
          <w:numId w:val="6"/>
        </w:numPr>
        <w:rPr>
          <w:rFonts w:hint="eastAsia"/>
        </w:rPr>
      </w:pPr>
      <w:r>
        <w:t>HO J, JAIN A, ABBEEL P. Denoising diffusion probabilistic models[C]//Advances in Neural Information Processing Systems. 2020.</w:t>
      </w:r>
    </w:p>
    <w:p w14:paraId="17B8E478">
      <w:pPr>
        <w:pStyle w:val="17"/>
        <w:numPr>
          <w:ilvl w:val="0"/>
          <w:numId w:val="6"/>
        </w:numPr>
        <w:rPr>
          <w:rFonts w:hint="eastAsia"/>
        </w:rPr>
      </w:pPr>
      <w:r>
        <w:t>SONG J, MENG C, ERMON S. Denoising diffusion implicit models[C]//International Conference on Learning Representations. 2021.</w:t>
      </w:r>
    </w:p>
    <w:p w14:paraId="407A3207">
      <w:pPr>
        <w:pStyle w:val="17"/>
        <w:numPr>
          <w:ilvl w:val="0"/>
          <w:numId w:val="6"/>
        </w:numPr>
        <w:rPr>
          <w:rFonts w:hint="eastAsia"/>
        </w:rPr>
      </w:pPr>
      <w:r>
        <w:t>LU C, ZHOU Y, BAO F, et al. DPM-Solver: a fast ODE solver for diffusion probabilistic model sampling in around 10 steps[C]//Advances in Neural Information Processing Systems. 2022.</w:t>
      </w:r>
    </w:p>
    <w:p w14:paraId="263B195A">
      <w:pPr>
        <w:pStyle w:val="17"/>
        <w:numPr>
          <w:ilvl w:val="0"/>
          <w:numId w:val="6"/>
        </w:numPr>
        <w:rPr>
          <w:rFonts w:hint="eastAsia"/>
        </w:rPr>
      </w:pPr>
      <w:r>
        <w:t>LU C, ZHOU Y, BAO F, et al. DPM-Solver++: fast solver for guided sampling of diffusion probabilistic models[EB/OL]. 2022. arXiv:2211.01095.</w:t>
      </w:r>
    </w:p>
    <w:p w14:paraId="243C1307">
      <w:pPr>
        <w:pStyle w:val="17"/>
        <w:numPr>
          <w:ilvl w:val="0"/>
          <w:numId w:val="6"/>
        </w:numPr>
        <w:rPr>
          <w:rFonts w:hint="eastAsia"/>
        </w:rPr>
      </w:pPr>
      <w:r>
        <w:t>ZHAO W, BAI L, RAO Y, et al. UniPC: a unified predictor-corrector framework for fast sampling of diffusion models[C]//Advances in Neural Information Processing Systems. 2023.</w:t>
      </w:r>
    </w:p>
    <w:p w14:paraId="777B716B">
      <w:pPr>
        <w:pStyle w:val="17"/>
        <w:numPr>
          <w:ilvl w:val="0"/>
          <w:numId w:val="6"/>
        </w:numPr>
        <w:rPr>
          <w:rFonts w:hint="eastAsia"/>
        </w:rPr>
      </w:pPr>
      <w:r>
        <w:t>ROMBACH R, BLATTMANN A, LORENZ D, et al. High-resolution image synthesis with latent diffusion models[C]//Proceedings of the IEEE/CVF Conference on Computer Vision and Pattern Recognition. 2022.</w:t>
      </w:r>
    </w:p>
    <w:p w14:paraId="0689BA5F">
      <w:pPr>
        <w:pStyle w:val="17"/>
        <w:numPr>
          <w:ilvl w:val="0"/>
          <w:numId w:val="6"/>
        </w:numPr>
        <w:rPr>
          <w:rFonts w:hint="eastAsia"/>
        </w:rPr>
      </w:pPr>
      <w:r>
        <w:t>SALIMANS T, HO J. Progressive distillation for fast sampling of diffusion models[C]//International Conference on Learning Representations. 2022.</w:t>
      </w:r>
    </w:p>
    <w:p w14:paraId="0C601C43">
      <w:pPr>
        <w:pStyle w:val="17"/>
        <w:numPr>
          <w:ilvl w:val="0"/>
          <w:numId w:val="6"/>
        </w:numPr>
        <w:rPr>
          <w:rFonts w:hint="eastAsia"/>
        </w:rPr>
      </w:pPr>
      <w:r>
        <w:t>SONG Y, DHARIWAL P, CHEN M, et al. Consistency models[C]//Proceedings of the 40th International Conference on Machine Learning. 2023.</w:t>
      </w:r>
    </w:p>
    <w:p w14:paraId="654AE9D1">
      <w:pPr>
        <w:pStyle w:val="17"/>
        <w:numPr>
          <w:ilvl w:val="0"/>
          <w:numId w:val="6"/>
        </w:numPr>
        <w:rPr>
          <w:rFonts w:hint="eastAsia"/>
        </w:rPr>
      </w:pPr>
      <w:r>
        <w:t>LUO S, TAN Y, HUANG L, et al. Latent consistency models: synthesizing high-resolution images with few-step inference[EB/OL]. 2023. arXiv:2310.04378.</w:t>
      </w:r>
    </w:p>
    <w:p w14:paraId="37DAA4F1">
      <w:pPr>
        <w:pStyle w:val="17"/>
        <w:numPr>
          <w:ilvl w:val="0"/>
          <w:numId w:val="6"/>
        </w:numPr>
        <w:rPr>
          <w:rFonts w:hint="eastAsia"/>
        </w:rPr>
      </w:pPr>
      <w:r>
        <w:t>HU E J, SHEN Y, WALLIS P, et al. LoRA: low-rank adaptation of large language models[C]//International Conference on Learning Representations. 2022.</w:t>
      </w:r>
    </w:p>
    <w:p w14:paraId="61121B39">
      <w:pPr>
        <w:pStyle w:val="17"/>
        <w:numPr>
          <w:ilvl w:val="0"/>
          <w:numId w:val="6"/>
        </w:numPr>
      </w:pPr>
      <w:r>
        <w:t>HO J, SALIMANS T. Classifier-free diffusion guidance[EB/OL]. 2022. arXiv:2207.12598.</w:t>
      </w:r>
    </w:p>
    <w:p w14:paraId="5D859E3F">
      <w:pPr>
        <w:pStyle w:val="17"/>
        <w:numPr>
          <w:ilvl w:val="0"/>
          <w:numId w:val="6"/>
        </w:numPr>
        <w:rPr>
          <w:rFonts w:hint="eastAsia"/>
        </w:rPr>
      </w:pPr>
      <w:r>
        <w:t>ZHANG L, RAO A, AGRAWALA M. Adding conditional control to text-to-image diffusion models[C]//Proceedings of the IEEE/CVF International Conference on Computer Vision. 2023.</w:t>
      </w:r>
    </w:p>
    <w:p w14:paraId="3AFFB0E0">
      <w:pPr>
        <w:pStyle w:val="17"/>
        <w:numPr>
          <w:ilvl w:val="0"/>
          <w:numId w:val="6"/>
        </w:numPr>
        <w:rPr>
          <w:rFonts w:hint="eastAsia"/>
        </w:rPr>
      </w:pPr>
      <w:r>
        <w:t>HERTZ A, MOKADY R, TENENBAUM J, et al. Prompt-to-Prompt image editing with cross-attention control[EB/OL]. 2022. arXiv:2208.01626.</w:t>
      </w:r>
    </w:p>
    <w:p w14:paraId="45712B11">
      <w:pPr>
        <w:pStyle w:val="17"/>
        <w:numPr>
          <w:ilvl w:val="0"/>
          <w:numId w:val="6"/>
        </w:numPr>
        <w:rPr>
          <w:rFonts w:hint="eastAsia"/>
        </w:rPr>
      </w:pPr>
      <w:r>
        <w:t>WU L, ZHANG C, LIU J, et al. Editing text in the wild[C]//Proceedings of the 27th ACM International Conference on Multimedia. 2019.</w:t>
      </w:r>
    </w:p>
    <w:p w14:paraId="6223A7F3">
      <w:pPr>
        <w:pStyle w:val="17"/>
        <w:numPr>
          <w:ilvl w:val="0"/>
          <w:numId w:val="6"/>
        </w:numPr>
        <w:rPr>
          <w:rFonts w:hint="eastAsia"/>
        </w:rPr>
      </w:pPr>
      <w:r>
        <w:t>ROY P, BHATTACHARYA S, GHOSH S, et al. STEFANN: scene text editor using font adaptive neural network[C]//Proceedings of the IEEE/CVF Conference on Computer Vision and Pattern Recognition. 2020.</w:t>
      </w:r>
    </w:p>
    <w:p w14:paraId="46AB544F">
      <w:pPr>
        <w:pStyle w:val="17"/>
        <w:numPr>
          <w:ilvl w:val="0"/>
          <w:numId w:val="6"/>
        </w:numPr>
        <w:rPr>
          <w:rFonts w:hint="eastAsia"/>
        </w:rPr>
      </w:pPr>
      <w:r>
        <w:t>YANG Q, HUANG J, LIN W. SwapText: image based texts transfer in scenes[C]//Proceedings of the IEEE/CVF Conference on Computer Vision and Pattern Recognition. 2020.</w:t>
      </w:r>
    </w:p>
    <w:p w14:paraId="448E4F1D">
      <w:pPr>
        <w:pStyle w:val="17"/>
        <w:numPr>
          <w:ilvl w:val="0"/>
          <w:numId w:val="6"/>
        </w:numPr>
        <w:rPr>
          <w:rFonts w:hint="eastAsia"/>
        </w:rPr>
      </w:pPr>
      <w:r>
        <w:t>CHEN J, HUANG Y, LV T, et al. TextDiffuser: diffusion models as text painters[C]//Advances in Neural Information Processing Systems. 2023.</w:t>
      </w:r>
    </w:p>
    <w:p w14:paraId="51B032BD">
      <w:pPr>
        <w:pStyle w:val="17"/>
        <w:numPr>
          <w:ilvl w:val="0"/>
          <w:numId w:val="6"/>
        </w:numPr>
        <w:rPr>
          <w:rFonts w:hint="eastAsia"/>
        </w:rPr>
      </w:pPr>
      <w:r>
        <w:t>CHEN J, HUANG Y, LV T, et al. TextDiffuser-2: unleashing the power of language models for text rendering[C]//European Conference on Computer Vision. 2024.</w:t>
      </w:r>
    </w:p>
    <w:p w14:paraId="1B8DC1CC">
      <w:pPr>
        <w:pStyle w:val="17"/>
        <w:numPr>
          <w:ilvl w:val="0"/>
          <w:numId w:val="6"/>
        </w:numPr>
        <w:rPr>
          <w:rFonts w:hint="eastAsia"/>
        </w:rPr>
      </w:pPr>
      <w:r>
        <w:t>YANG Y, GUI D, YUAN Y, et al. GlyphControl: glyph conditional control for visual text generation[C]//Advances in Neural Information Processing Systems. 2023.</w:t>
      </w:r>
    </w:p>
    <w:p w14:paraId="2EE2E62A">
      <w:pPr>
        <w:pStyle w:val="17"/>
        <w:numPr>
          <w:ilvl w:val="0"/>
          <w:numId w:val="6"/>
        </w:numPr>
        <w:rPr>
          <w:rFonts w:hint="eastAsia"/>
        </w:rPr>
      </w:pPr>
      <w:r>
        <w:t>MA J, ZHAO M, CHEN C, et al. GlyphDraw: seamlessly rendering text with intricate spatial structures in text-to-image generation[EB/OL]. 2023. arXiv:2303.17870.</w:t>
      </w:r>
    </w:p>
    <w:p w14:paraId="36665888">
      <w:pPr>
        <w:pStyle w:val="17"/>
        <w:numPr>
          <w:ilvl w:val="0"/>
          <w:numId w:val="6"/>
        </w:numPr>
        <w:rPr>
          <w:rFonts w:hint="eastAsia"/>
        </w:rPr>
      </w:pPr>
      <w:r>
        <w:t>TUO Y, XIANG W, HE J Y, et al. AnyText: multilingual visual text generation and editing[C]//International Conference on Learning Representations. 2024.</w:t>
      </w:r>
    </w:p>
    <w:p w14:paraId="502161DF">
      <w:pPr>
        <w:pStyle w:val="17"/>
        <w:numPr>
          <w:ilvl w:val="0"/>
          <w:numId w:val="6"/>
        </w:numPr>
        <w:rPr>
          <w:rFonts w:hint="eastAsia"/>
        </w:rPr>
      </w:pPr>
      <w:r>
        <w:t>TUO Y, GENG Y, BO L. AnyText2: visual text generation and editing with customizable attributes[EB/OL]. 2024. arXiv:2411.15245.</w:t>
      </w:r>
    </w:p>
    <w:p w14:paraId="47F48DB6">
      <w:pPr>
        <w:pStyle w:val="17"/>
        <w:numPr>
          <w:ilvl w:val="0"/>
          <w:numId w:val="6"/>
        </w:numPr>
        <w:rPr>
          <w:rFonts w:hint="eastAsia"/>
        </w:rPr>
      </w:pPr>
      <w:r>
        <w:t>GRAVES A, FERNÁNDEZ S, GOMEZ F, et al. Connectionist temporal classification: labelling unsegmented sequence data with recurrent neural networks[C]//Proceedings of the 23rd International Conference on Machine Learning. 2006.</w:t>
      </w:r>
    </w:p>
    <w:p w14:paraId="2AD987EB">
      <w:pPr>
        <w:pStyle w:val="17"/>
        <w:numPr>
          <w:ilvl w:val="0"/>
          <w:numId w:val="6"/>
        </w:numPr>
        <w:rPr>
          <w:rFonts w:hint="eastAsia"/>
        </w:rPr>
      </w:pPr>
      <w:r>
        <w:t>SHI B, BAI X, YAO C. An end-to-end trainable neural network for image-based sequence recognition and its application to scene text recognition[J]. IEEE Transactions on Pattern Analysis and Machine Intelligence, 2017, 39(11): 2298-2304.</w:t>
      </w:r>
    </w:p>
    <w:p w14:paraId="148CD509">
      <w:pPr>
        <w:pStyle w:val="17"/>
        <w:numPr>
          <w:ilvl w:val="0"/>
          <w:numId w:val="6"/>
        </w:numPr>
        <w:rPr>
          <w:rFonts w:hint="eastAsia"/>
        </w:rPr>
      </w:pPr>
      <w:r>
        <w:t>LI M, LV T, CHEN J, et al. TrOCR: transformer-based optical character recognition with pre-trained models[C]//Proceedings of the AAAI Conference on Artificial Intelligence. 2023.</w:t>
      </w:r>
    </w:p>
    <w:p w14:paraId="0A929910">
      <w:pPr>
        <w:pStyle w:val="17"/>
        <w:numPr>
          <w:ilvl w:val="0"/>
          <w:numId w:val="6"/>
        </w:numPr>
        <w:rPr>
          <w:rFonts w:hint="eastAsia"/>
        </w:rPr>
      </w:pPr>
      <w:r>
        <w:t>BAUTISTA D, ATIENZA R. Scene text recognition with permuted autoregressive sequence models[C]//European Conference on Computer Vision. 2022.</w:t>
      </w:r>
    </w:p>
    <w:p w14:paraId="5EF4008D">
      <w:pPr>
        <w:pStyle w:val="17"/>
        <w:numPr>
          <w:ilvl w:val="0"/>
          <w:numId w:val="6"/>
        </w:numPr>
        <w:rPr>
          <w:rFonts w:hint="eastAsia"/>
        </w:rPr>
      </w:pPr>
      <w:r>
        <w:t>JIANG L, DAI B, WU W, et al. Focal frequency loss for image reconstruction and synthesis[C]//Proceedings of the IEEE/CVF International Conference on Computer Vision. 2021.</w:t>
      </w:r>
    </w:p>
    <w:p w14:paraId="17679483">
      <w:pPr>
        <w:pStyle w:val="17"/>
        <w:numPr>
          <w:ilvl w:val="0"/>
          <w:numId w:val="6"/>
        </w:numPr>
      </w:pPr>
      <w:r>
        <w:t>SHIT S, PAETZOLD J C, SEKUBOYINA A, et al. clDice: a novel topology-preserving loss function for tubular structure segmentation[C]//Proceedings of the IEEE/CVF Conference on Computer Vision and Pattern Recognition. 2021.</w:t>
      </w:r>
    </w:p>
    <w:p w14:paraId="0F242840">
      <w:pPr>
        <w:pStyle w:val="17"/>
        <w:numPr>
          <w:ilvl w:val="0"/>
          <w:numId w:val="6"/>
        </w:numPr>
        <w:rPr>
          <w:rFonts w:hint="eastAsia"/>
        </w:rPr>
      </w:pPr>
      <w:r>
        <w:t>LOSHCHILOV I, HUTTER F. Decoupled weight decay regularization[C]//International Conference on Learning Representations. 2019.</w:t>
      </w:r>
    </w:p>
    <w:sectPr>
      <w:type w:val="continuous"/>
      <w:pgSz w:w="11906" w:h="16838"/>
      <w:pgMar w:top="1701" w:right="1134" w:bottom="1701" w:left="1134" w:header="851" w:footer="992" w:gutter="0"/>
      <w:cols w:space="398" w:num="2"/>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 w:name="Georgia">
    <w:panose1 w:val="02040502050405020303"/>
    <w:charset w:val="00"/>
    <w:family w:val="roman"/>
    <w:pitch w:val="default"/>
    <w:sig w:usb0="00000287" w:usb1="00000000" w:usb2="00000000" w:usb3="00000000" w:csb0="2000009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E9528">
    <w:pPr>
      <w:pStyle w:val="26"/>
      <w:adjustRightInd w:val="0"/>
      <w:ind w:right="98" w:firstLine="360"/>
      <w:jc w:val="right"/>
    </w:pPr>
    <w:r>
      <w:rPr>
        <w:rFonts w:hint="eastAsia"/>
      </w:rPr>
      <w:t>2026东南大学校庆研究生学术报告会</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2E8A3">
    <w:pPr>
      <w:pStyle w:val="2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11647">
    <w:pPr>
      <w:pStyle w:val="2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8314F">
    <w:pPr>
      <w:pStyle w:val="27"/>
      <w:pBdr>
        <w:bottom w:val="single" w:color="auto" w:sz="4" w:space="1"/>
      </w:pBdr>
      <w:spacing w:line="360" w:lineRule="auto"/>
      <w:ind w:firstLine="480"/>
      <w:jc w:val="right"/>
    </w:pPr>
    <w:r>
      <w:rPr>
        <w:rFonts w:hint="eastAsia" w:ascii="黑体" w:eastAsia="黑体"/>
        <w:sz w:val="24"/>
      </w:rPr>
      <w:drawing>
        <wp:anchor distT="0" distB="0" distL="114300" distR="114300" simplePos="0" relativeHeight="251659264" behindDoc="1" locked="0" layoutInCell="1" allowOverlap="1">
          <wp:simplePos x="0" y="0"/>
          <wp:positionH relativeFrom="column">
            <wp:posOffset>19050</wp:posOffset>
          </wp:positionH>
          <wp:positionV relativeFrom="paragraph">
            <wp:posOffset>-125095</wp:posOffset>
          </wp:positionV>
          <wp:extent cx="685800" cy="658495"/>
          <wp:effectExtent l="0" t="0" r="0" b="8255"/>
          <wp:wrapThrough wrapText="bothSides">
            <wp:wrapPolygon>
              <wp:start x="0" y="0"/>
              <wp:lineTo x="0" y="21246"/>
              <wp:lineTo x="21000" y="21246"/>
              <wp:lineTo x="21000" y="0"/>
              <wp:lineTo x="0" y="0"/>
            </wp:wrapPolygon>
          </wp:wrapThrough>
          <wp:docPr id="2" name="图片 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d"/>
                  <pic:cNvPicPr>
                    <a:picLocks noChangeAspect="1"/>
                  </pic:cNvPicPr>
                </pic:nvPicPr>
                <pic:blipFill>
                  <a:blip r:embed="rId1"/>
                  <a:srcRect l="9024" t="12245" r="68295" b="10204"/>
                  <a:stretch>
                    <a:fillRect/>
                  </a:stretch>
                </pic:blipFill>
                <pic:spPr>
                  <a:xfrm>
                    <a:off x="0" y="0"/>
                    <a:ext cx="685800" cy="658495"/>
                  </a:xfrm>
                  <a:prstGeom prst="rect">
                    <a:avLst/>
                  </a:prstGeom>
                  <a:noFill/>
                  <a:ln>
                    <a:noFill/>
                  </a:ln>
                </pic:spPr>
              </pic:pic>
            </a:graphicData>
          </a:graphic>
        </wp:anchor>
      </w:drawing>
    </w:r>
    <w:r>
      <w:rPr>
        <w:rFonts w:hint="eastAsia" w:ascii="黑体" w:eastAsia="黑体"/>
        <w:sz w:val="24"/>
      </w:rPr>
      <w:t>2026东南大学校庆研究生学术报告会</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DDD8C">
    <w:pPr>
      <w:pStyle w:val="27"/>
      <w:ind w:firstLine="360"/>
      <w:rPr>
        <w:rStyle w:val="45"/>
        <w:highlight w:val="red"/>
      </w:rPr>
    </w:pPr>
  </w:p>
  <w:p w14:paraId="72094AE1">
    <w:pPr>
      <w:pStyle w:val="27"/>
      <w:ind w:firstLine="360"/>
      <w:rPr>
        <w:rStyle w:val="45"/>
        <w:highlight w:val="red"/>
      </w:rPr>
    </w:pPr>
    <w:r>
      <w:rPr>
        <w:rStyle w:val="45"/>
        <w:rFonts w:hint="eastAsia"/>
        <w:highlight w:val="red"/>
      </w:rPr>
      <w:t>0</w:t>
    </w:r>
    <w:r>
      <w:rPr>
        <w:rStyle w:val="45"/>
        <w:rFonts w:hint="eastAsia"/>
      </w:rPr>
      <w:t xml:space="preserve">                                            </w:t>
    </w:r>
    <w:r>
      <w:rPr>
        <w:rStyle w:val="45"/>
      </w:rPr>
      <w:t>东南大学研究生学报</w:t>
    </w:r>
    <w:r>
      <w:rPr>
        <w:rStyle w:val="45"/>
        <w:rFonts w:hint="eastAsia"/>
      </w:rPr>
      <w:t xml:space="preserve">                                      第</w:t>
    </w:r>
    <w:r>
      <w:rPr>
        <w:rStyle w:val="45"/>
        <w:rFonts w:hint="eastAsia"/>
        <w:highlight w:val="red"/>
      </w:rPr>
      <w:t>7</w:t>
    </w:r>
    <w:r>
      <w:rPr>
        <w:rStyle w:val="45"/>
        <w:rFonts w:hint="eastAsia"/>
      </w:rPr>
      <w:t>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4BE45">
    <w:pPr>
      <w:pStyle w:val="27"/>
      <w:ind w:firstLine="360"/>
    </w:pPr>
    <w:r>
      <w:rPr>
        <w:highlight w:val="red"/>
      </w:rPr>
      <w:t>第7卷第2期</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b/>
        <w:sz w:val="24"/>
      </w:rPr>
      <w:t>东 南 大 学 研 究 生 学 报</w:t>
    </w:r>
    <w:r>
      <w:t xml:space="preserve">          </w:t>
    </w:r>
    <w:r>
      <w:rPr>
        <w:rFonts w:hint="eastAsia"/>
      </w:rPr>
      <w:t xml:space="preserve">  </w:t>
    </w:r>
    <w:r>
      <w:t xml:space="preserve">    </w:t>
    </w:r>
    <w:r>
      <w:rPr>
        <w:rFonts w:hint="eastAsia"/>
      </w:rPr>
      <w:t xml:space="preserve"> </w:t>
    </w:r>
    <w:r>
      <w:t xml:space="preserve">          </w:t>
    </w:r>
    <w:r>
      <w:rPr>
        <w:highlight w:val="red"/>
      </w:rPr>
      <w:t>Vol.7 No.2</w:t>
    </w:r>
  </w:p>
  <w:p w14:paraId="5874334F">
    <w:pPr>
      <w:pStyle w:val="27"/>
      <w:ind w:firstLine="360"/>
    </w:pPr>
    <w:r>
      <w:rPr>
        <w:highlight w:val="red"/>
      </w:rPr>
      <w:t>2009年12月</w:t>
    </w:r>
    <w:r>
      <w:t xml:space="preserve">          </w:t>
    </w:r>
    <w:r>
      <w:rPr>
        <w:rFonts w:hint="eastAsia"/>
      </w:rPr>
      <w:t xml:space="preserve">      </w:t>
    </w:r>
    <w:r>
      <w:t xml:space="preserve">JOURNAL OF GRADUATE STUDENTS SOUTHEAST UNIVERSITY       </w:t>
    </w:r>
    <w:r>
      <w:rPr>
        <w:rFonts w:hint="eastAsia"/>
      </w:rPr>
      <w:t xml:space="preserve">  </w:t>
    </w:r>
    <w:r>
      <w:t xml:space="preserve">    </w:t>
    </w:r>
    <w:r>
      <w:rPr>
        <w:highlight w:val="red"/>
      </w:rPr>
      <w:t>D</w:t>
    </w:r>
    <w:r>
      <w:rPr>
        <w:rFonts w:hint="eastAsia"/>
        <w:highlight w:val="red"/>
      </w:rPr>
      <w:t>ec</w:t>
    </w:r>
    <w:r>
      <w:rPr>
        <w:highlight w:val="red"/>
      </w:rPr>
      <w:t>.</w:t>
    </w:r>
    <w:r>
      <w:rPr>
        <w:rFonts w:hint="eastAsia"/>
        <w:highlight w:val="red"/>
      </w:rPr>
      <w:t xml:space="preserve"> </w:t>
    </w:r>
    <w:r>
      <w:rPr>
        <w:highlight w:val="red"/>
      </w:rPr>
      <w:t>2009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decimal"/>
      <w:lvlText w:val="[%1]"/>
      <w:lvlJc w:val="left"/>
      <w:pPr>
        <w:tabs>
          <w:tab w:val="left" w:pos="340"/>
        </w:tabs>
        <w:ind w:left="340" w:hanging="340"/>
      </w:pPr>
      <w:rPr>
        <w:rFonts w:hint="default" w:ascii="Times New Roman" w:hAnsi="Times New Roman" w:eastAsia="宋体"/>
        <w:sz w:val="18"/>
      </w:rPr>
    </w:lvl>
    <w:lvl w:ilvl="1" w:tentative="0">
      <w:start w:val="1"/>
      <w:numFmt w:val="none"/>
      <w:suff w:val="nothing"/>
      <w:lvlText w:val=""/>
      <w:lvlJc w:val="left"/>
      <w:pPr>
        <w:ind w:left="0" w:firstLine="0"/>
      </w:pPr>
      <w:rPr>
        <w:rFonts w:hint="eastAsia"/>
      </w:rPr>
    </w:lvl>
    <w:lvl w:ilvl="2" w:tentative="0">
      <w:start w:val="1"/>
      <w:numFmt w:val="none"/>
      <w:suff w:val="nothing"/>
      <w:lvlText w:val=""/>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
    <w:nsid w:val="0A6E5D3D"/>
    <w:multiLevelType w:val="multilevel"/>
    <w:tmpl w:val="0A6E5D3D"/>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10071CED"/>
    <w:multiLevelType w:val="multilevel"/>
    <w:tmpl w:val="10071CED"/>
    <w:lvl w:ilvl="0" w:tentative="0">
      <w:start w:val="1"/>
      <w:numFmt w:val="none"/>
      <w:pStyle w:val="96"/>
      <w:lvlText w:val="Abstract:"/>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32C27D2C"/>
    <w:multiLevelType w:val="multilevel"/>
    <w:tmpl w:val="32C27D2C"/>
    <w:lvl w:ilvl="0" w:tentative="0">
      <w:start w:val="1"/>
      <w:numFmt w:val="decimal"/>
      <w:pStyle w:val="98"/>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A877D64"/>
    <w:multiLevelType w:val="singleLevel"/>
    <w:tmpl w:val="3A877D64"/>
    <w:lvl w:ilvl="0" w:tentative="0">
      <w:start w:val="1"/>
      <w:numFmt w:val="decimal"/>
      <w:pStyle w:val="99"/>
      <w:lvlText w:val="[%1]"/>
      <w:lvlJc w:val="left"/>
      <w:pPr>
        <w:tabs>
          <w:tab w:val="left" w:pos="360"/>
        </w:tabs>
        <w:ind w:left="360" w:hanging="360"/>
      </w:pPr>
      <w:rPr>
        <w:sz w:val="16"/>
        <w:szCs w:val="16"/>
      </w:rPr>
    </w:lvl>
  </w:abstractNum>
  <w:abstractNum w:abstractNumId="5">
    <w:nsid w:val="44DB54CE"/>
    <w:multiLevelType w:val="multilevel"/>
    <w:tmpl w:val="44DB54CE"/>
    <w:lvl w:ilvl="0" w:tentative="0">
      <w:start w:val="1"/>
      <w:numFmt w:val="none"/>
      <w:pStyle w:val="93"/>
      <w:lvlText w:val="Key words: "/>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FmMDM1NWYwZDYzNWZlMTRlYzJiMjkwOWM5MTI1NzEifQ=="/>
  </w:docVars>
  <w:rsids>
    <w:rsidRoot w:val="00EF0F1A"/>
    <w:rsid w:val="00000EF1"/>
    <w:rsid w:val="00001CB1"/>
    <w:rsid w:val="00002A42"/>
    <w:rsid w:val="00006473"/>
    <w:rsid w:val="000067AD"/>
    <w:rsid w:val="00007667"/>
    <w:rsid w:val="00010776"/>
    <w:rsid w:val="00011675"/>
    <w:rsid w:val="0001250B"/>
    <w:rsid w:val="0001285C"/>
    <w:rsid w:val="000158BE"/>
    <w:rsid w:val="000248AC"/>
    <w:rsid w:val="000269DA"/>
    <w:rsid w:val="00030160"/>
    <w:rsid w:val="000320A1"/>
    <w:rsid w:val="00032621"/>
    <w:rsid w:val="000330B3"/>
    <w:rsid w:val="0003450B"/>
    <w:rsid w:val="00034835"/>
    <w:rsid w:val="00036029"/>
    <w:rsid w:val="00036FDC"/>
    <w:rsid w:val="000406B5"/>
    <w:rsid w:val="00041AFE"/>
    <w:rsid w:val="000422AD"/>
    <w:rsid w:val="000432E8"/>
    <w:rsid w:val="000442BD"/>
    <w:rsid w:val="000467F5"/>
    <w:rsid w:val="0005138A"/>
    <w:rsid w:val="000531FA"/>
    <w:rsid w:val="00053A5C"/>
    <w:rsid w:val="00054EDE"/>
    <w:rsid w:val="00054EF2"/>
    <w:rsid w:val="000570A9"/>
    <w:rsid w:val="000623C0"/>
    <w:rsid w:val="00063E39"/>
    <w:rsid w:val="00067D94"/>
    <w:rsid w:val="00071735"/>
    <w:rsid w:val="000729A2"/>
    <w:rsid w:val="00073B5B"/>
    <w:rsid w:val="00073F23"/>
    <w:rsid w:val="00074672"/>
    <w:rsid w:val="00074CA8"/>
    <w:rsid w:val="000763DA"/>
    <w:rsid w:val="000764EF"/>
    <w:rsid w:val="00077296"/>
    <w:rsid w:val="000808CB"/>
    <w:rsid w:val="0008139A"/>
    <w:rsid w:val="00081DF3"/>
    <w:rsid w:val="00082B5A"/>
    <w:rsid w:val="0008507E"/>
    <w:rsid w:val="0008584B"/>
    <w:rsid w:val="000867A1"/>
    <w:rsid w:val="00087C4D"/>
    <w:rsid w:val="000901A5"/>
    <w:rsid w:val="00090335"/>
    <w:rsid w:val="00091AD9"/>
    <w:rsid w:val="000932F8"/>
    <w:rsid w:val="000A0418"/>
    <w:rsid w:val="000A22A7"/>
    <w:rsid w:val="000A2B1F"/>
    <w:rsid w:val="000A2B67"/>
    <w:rsid w:val="000A5C34"/>
    <w:rsid w:val="000A7C38"/>
    <w:rsid w:val="000B033F"/>
    <w:rsid w:val="000B11E1"/>
    <w:rsid w:val="000B14C2"/>
    <w:rsid w:val="000B3EAA"/>
    <w:rsid w:val="000B4E9C"/>
    <w:rsid w:val="000B5F44"/>
    <w:rsid w:val="000B62EF"/>
    <w:rsid w:val="000B7CF5"/>
    <w:rsid w:val="000C198A"/>
    <w:rsid w:val="000C43FA"/>
    <w:rsid w:val="000C4525"/>
    <w:rsid w:val="000D35B6"/>
    <w:rsid w:val="000D3F1B"/>
    <w:rsid w:val="000D4E19"/>
    <w:rsid w:val="000D69B8"/>
    <w:rsid w:val="000D6B63"/>
    <w:rsid w:val="000E0EC7"/>
    <w:rsid w:val="000E2869"/>
    <w:rsid w:val="000E7062"/>
    <w:rsid w:val="000F0B2C"/>
    <w:rsid w:val="000F17CA"/>
    <w:rsid w:val="000F29CE"/>
    <w:rsid w:val="000F2D50"/>
    <w:rsid w:val="000F33DE"/>
    <w:rsid w:val="000F38B5"/>
    <w:rsid w:val="000F521B"/>
    <w:rsid w:val="000F6614"/>
    <w:rsid w:val="00101648"/>
    <w:rsid w:val="00101AC4"/>
    <w:rsid w:val="001025E3"/>
    <w:rsid w:val="00102F83"/>
    <w:rsid w:val="00103CD9"/>
    <w:rsid w:val="001073A5"/>
    <w:rsid w:val="00107BA8"/>
    <w:rsid w:val="00110908"/>
    <w:rsid w:val="001114A4"/>
    <w:rsid w:val="0011181A"/>
    <w:rsid w:val="001156E9"/>
    <w:rsid w:val="00116E5A"/>
    <w:rsid w:val="00117880"/>
    <w:rsid w:val="00121C0E"/>
    <w:rsid w:val="001235F8"/>
    <w:rsid w:val="00133271"/>
    <w:rsid w:val="00136BC0"/>
    <w:rsid w:val="00137713"/>
    <w:rsid w:val="001400FD"/>
    <w:rsid w:val="00140169"/>
    <w:rsid w:val="001437E0"/>
    <w:rsid w:val="001446F2"/>
    <w:rsid w:val="00144AA8"/>
    <w:rsid w:val="00153036"/>
    <w:rsid w:val="00155CB5"/>
    <w:rsid w:val="00157929"/>
    <w:rsid w:val="00157BBC"/>
    <w:rsid w:val="001608D2"/>
    <w:rsid w:val="00162F62"/>
    <w:rsid w:val="00165BAB"/>
    <w:rsid w:val="0016607A"/>
    <w:rsid w:val="001709E7"/>
    <w:rsid w:val="00172683"/>
    <w:rsid w:val="00173AE3"/>
    <w:rsid w:val="00175CB9"/>
    <w:rsid w:val="001774E6"/>
    <w:rsid w:val="00177941"/>
    <w:rsid w:val="001808A2"/>
    <w:rsid w:val="00180E0E"/>
    <w:rsid w:val="00180E20"/>
    <w:rsid w:val="00181445"/>
    <w:rsid w:val="0018553C"/>
    <w:rsid w:val="0018634D"/>
    <w:rsid w:val="0018637C"/>
    <w:rsid w:val="001955D7"/>
    <w:rsid w:val="00196607"/>
    <w:rsid w:val="00196CB5"/>
    <w:rsid w:val="001A06E6"/>
    <w:rsid w:val="001A115F"/>
    <w:rsid w:val="001A1933"/>
    <w:rsid w:val="001A1E47"/>
    <w:rsid w:val="001A3270"/>
    <w:rsid w:val="001A5F64"/>
    <w:rsid w:val="001B3C33"/>
    <w:rsid w:val="001B6C3B"/>
    <w:rsid w:val="001C0BB1"/>
    <w:rsid w:val="001C33E4"/>
    <w:rsid w:val="001C50C7"/>
    <w:rsid w:val="001D0E8F"/>
    <w:rsid w:val="001D1D9B"/>
    <w:rsid w:val="001D25E5"/>
    <w:rsid w:val="001D3444"/>
    <w:rsid w:val="001E1968"/>
    <w:rsid w:val="001E321F"/>
    <w:rsid w:val="001E4667"/>
    <w:rsid w:val="001E60B1"/>
    <w:rsid w:val="001E63FF"/>
    <w:rsid w:val="001F1AD3"/>
    <w:rsid w:val="001F2AFE"/>
    <w:rsid w:val="001F5846"/>
    <w:rsid w:val="00201228"/>
    <w:rsid w:val="00202F7E"/>
    <w:rsid w:val="002032AB"/>
    <w:rsid w:val="00212640"/>
    <w:rsid w:val="00213A06"/>
    <w:rsid w:val="00214486"/>
    <w:rsid w:val="002159A8"/>
    <w:rsid w:val="00215DF8"/>
    <w:rsid w:val="0022067A"/>
    <w:rsid w:val="00220B43"/>
    <w:rsid w:val="00220F2A"/>
    <w:rsid w:val="002211E9"/>
    <w:rsid w:val="002222D1"/>
    <w:rsid w:val="002248E8"/>
    <w:rsid w:val="00226C76"/>
    <w:rsid w:val="00232F7D"/>
    <w:rsid w:val="002346EB"/>
    <w:rsid w:val="0023755E"/>
    <w:rsid w:val="00241AED"/>
    <w:rsid w:val="00242051"/>
    <w:rsid w:val="0024252C"/>
    <w:rsid w:val="00243FBD"/>
    <w:rsid w:val="00246A83"/>
    <w:rsid w:val="00252F7F"/>
    <w:rsid w:val="0025579E"/>
    <w:rsid w:val="00257D98"/>
    <w:rsid w:val="00257F81"/>
    <w:rsid w:val="00261581"/>
    <w:rsid w:val="00262DDA"/>
    <w:rsid w:val="00263213"/>
    <w:rsid w:val="00263804"/>
    <w:rsid w:val="00264B0E"/>
    <w:rsid w:val="0027049D"/>
    <w:rsid w:val="00270907"/>
    <w:rsid w:val="00273EA9"/>
    <w:rsid w:val="00274570"/>
    <w:rsid w:val="00274DD9"/>
    <w:rsid w:val="00275B3A"/>
    <w:rsid w:val="00282C3A"/>
    <w:rsid w:val="00284DF2"/>
    <w:rsid w:val="00285465"/>
    <w:rsid w:val="00286A66"/>
    <w:rsid w:val="00287168"/>
    <w:rsid w:val="0029030B"/>
    <w:rsid w:val="002915ED"/>
    <w:rsid w:val="00292817"/>
    <w:rsid w:val="00295120"/>
    <w:rsid w:val="00296AEE"/>
    <w:rsid w:val="002A50E6"/>
    <w:rsid w:val="002A5F9A"/>
    <w:rsid w:val="002B1A0A"/>
    <w:rsid w:val="002B41DB"/>
    <w:rsid w:val="002B6254"/>
    <w:rsid w:val="002B6441"/>
    <w:rsid w:val="002B7537"/>
    <w:rsid w:val="002B7CC3"/>
    <w:rsid w:val="002C3737"/>
    <w:rsid w:val="002C4ABC"/>
    <w:rsid w:val="002C61D7"/>
    <w:rsid w:val="002C6AA9"/>
    <w:rsid w:val="002C7EE7"/>
    <w:rsid w:val="002D094D"/>
    <w:rsid w:val="002D19E4"/>
    <w:rsid w:val="002D2AD9"/>
    <w:rsid w:val="002D5DE9"/>
    <w:rsid w:val="002D6201"/>
    <w:rsid w:val="002D67B0"/>
    <w:rsid w:val="002D6C2F"/>
    <w:rsid w:val="002D7A5C"/>
    <w:rsid w:val="002E27C4"/>
    <w:rsid w:val="002E2B16"/>
    <w:rsid w:val="002E762E"/>
    <w:rsid w:val="002F0898"/>
    <w:rsid w:val="002F5D90"/>
    <w:rsid w:val="002F6882"/>
    <w:rsid w:val="0030156B"/>
    <w:rsid w:val="00303BC8"/>
    <w:rsid w:val="00303D5D"/>
    <w:rsid w:val="00317185"/>
    <w:rsid w:val="00320C88"/>
    <w:rsid w:val="00321D4F"/>
    <w:rsid w:val="00322B9F"/>
    <w:rsid w:val="00323258"/>
    <w:rsid w:val="003239F6"/>
    <w:rsid w:val="003241C4"/>
    <w:rsid w:val="00324ADA"/>
    <w:rsid w:val="00324D55"/>
    <w:rsid w:val="0033380D"/>
    <w:rsid w:val="003340A0"/>
    <w:rsid w:val="003365DA"/>
    <w:rsid w:val="00337BAA"/>
    <w:rsid w:val="0034082E"/>
    <w:rsid w:val="003437BD"/>
    <w:rsid w:val="00344353"/>
    <w:rsid w:val="00350E27"/>
    <w:rsid w:val="00353583"/>
    <w:rsid w:val="003611C1"/>
    <w:rsid w:val="00361EE3"/>
    <w:rsid w:val="003710E6"/>
    <w:rsid w:val="00371420"/>
    <w:rsid w:val="00374B5B"/>
    <w:rsid w:val="00380BF1"/>
    <w:rsid w:val="00380DD2"/>
    <w:rsid w:val="00380DE5"/>
    <w:rsid w:val="00380FE9"/>
    <w:rsid w:val="00381245"/>
    <w:rsid w:val="003829C4"/>
    <w:rsid w:val="00385FC2"/>
    <w:rsid w:val="003912E8"/>
    <w:rsid w:val="00391D90"/>
    <w:rsid w:val="00392BE7"/>
    <w:rsid w:val="00396699"/>
    <w:rsid w:val="00397B02"/>
    <w:rsid w:val="003A0E57"/>
    <w:rsid w:val="003A12E1"/>
    <w:rsid w:val="003A1753"/>
    <w:rsid w:val="003A1936"/>
    <w:rsid w:val="003A6671"/>
    <w:rsid w:val="003B07D6"/>
    <w:rsid w:val="003B0DB0"/>
    <w:rsid w:val="003B21E3"/>
    <w:rsid w:val="003B2CFA"/>
    <w:rsid w:val="003B312D"/>
    <w:rsid w:val="003B39FD"/>
    <w:rsid w:val="003B5D30"/>
    <w:rsid w:val="003B60C5"/>
    <w:rsid w:val="003B6302"/>
    <w:rsid w:val="003C4AFD"/>
    <w:rsid w:val="003C5150"/>
    <w:rsid w:val="003C708D"/>
    <w:rsid w:val="003D0157"/>
    <w:rsid w:val="003D1944"/>
    <w:rsid w:val="003D2EA5"/>
    <w:rsid w:val="003E04F7"/>
    <w:rsid w:val="003E4DAF"/>
    <w:rsid w:val="003E6D2A"/>
    <w:rsid w:val="003E7451"/>
    <w:rsid w:val="003E7CD4"/>
    <w:rsid w:val="003F0035"/>
    <w:rsid w:val="003F045C"/>
    <w:rsid w:val="003F12C7"/>
    <w:rsid w:val="003F1DBC"/>
    <w:rsid w:val="003F688C"/>
    <w:rsid w:val="00405B6B"/>
    <w:rsid w:val="00407F8C"/>
    <w:rsid w:val="004115DF"/>
    <w:rsid w:val="00414E2F"/>
    <w:rsid w:val="00416FDD"/>
    <w:rsid w:val="00421C17"/>
    <w:rsid w:val="004220BA"/>
    <w:rsid w:val="00422961"/>
    <w:rsid w:val="00423969"/>
    <w:rsid w:val="00424AD3"/>
    <w:rsid w:val="00424E98"/>
    <w:rsid w:val="0042506D"/>
    <w:rsid w:val="00425C0A"/>
    <w:rsid w:val="00426463"/>
    <w:rsid w:val="00427AAA"/>
    <w:rsid w:val="0043083D"/>
    <w:rsid w:val="00430D48"/>
    <w:rsid w:val="00431FD8"/>
    <w:rsid w:val="00433322"/>
    <w:rsid w:val="00433470"/>
    <w:rsid w:val="00433AE5"/>
    <w:rsid w:val="00434787"/>
    <w:rsid w:val="00434D4B"/>
    <w:rsid w:val="004400C3"/>
    <w:rsid w:val="004402AB"/>
    <w:rsid w:val="00442600"/>
    <w:rsid w:val="0044758A"/>
    <w:rsid w:val="004526B3"/>
    <w:rsid w:val="00454890"/>
    <w:rsid w:val="004557D4"/>
    <w:rsid w:val="0046605D"/>
    <w:rsid w:val="00471419"/>
    <w:rsid w:val="00471516"/>
    <w:rsid w:val="00472964"/>
    <w:rsid w:val="004732BF"/>
    <w:rsid w:val="004736B3"/>
    <w:rsid w:val="004812E5"/>
    <w:rsid w:val="004817BC"/>
    <w:rsid w:val="00483413"/>
    <w:rsid w:val="004849B6"/>
    <w:rsid w:val="00486213"/>
    <w:rsid w:val="004867F8"/>
    <w:rsid w:val="0048757C"/>
    <w:rsid w:val="0049013D"/>
    <w:rsid w:val="004903C0"/>
    <w:rsid w:val="004947F5"/>
    <w:rsid w:val="00495D1F"/>
    <w:rsid w:val="00495DD1"/>
    <w:rsid w:val="00496041"/>
    <w:rsid w:val="00496EA2"/>
    <w:rsid w:val="00497DBC"/>
    <w:rsid w:val="004A62EA"/>
    <w:rsid w:val="004A6C3E"/>
    <w:rsid w:val="004B0A23"/>
    <w:rsid w:val="004B2FA5"/>
    <w:rsid w:val="004B39BE"/>
    <w:rsid w:val="004B40D4"/>
    <w:rsid w:val="004B4E12"/>
    <w:rsid w:val="004B5449"/>
    <w:rsid w:val="004C23BD"/>
    <w:rsid w:val="004C5423"/>
    <w:rsid w:val="004C68E9"/>
    <w:rsid w:val="004D1A46"/>
    <w:rsid w:val="004D1CB1"/>
    <w:rsid w:val="004D509D"/>
    <w:rsid w:val="004D5B14"/>
    <w:rsid w:val="004E1A08"/>
    <w:rsid w:val="004E37AE"/>
    <w:rsid w:val="004E6C47"/>
    <w:rsid w:val="004F093E"/>
    <w:rsid w:val="004F3918"/>
    <w:rsid w:val="004F470E"/>
    <w:rsid w:val="004F51F4"/>
    <w:rsid w:val="004F5DFD"/>
    <w:rsid w:val="004F6FAB"/>
    <w:rsid w:val="004F795B"/>
    <w:rsid w:val="00500DA2"/>
    <w:rsid w:val="00500FFD"/>
    <w:rsid w:val="0050226E"/>
    <w:rsid w:val="0050323C"/>
    <w:rsid w:val="0050367D"/>
    <w:rsid w:val="00505D03"/>
    <w:rsid w:val="0050603E"/>
    <w:rsid w:val="00510DAE"/>
    <w:rsid w:val="0051261D"/>
    <w:rsid w:val="00513379"/>
    <w:rsid w:val="00514F68"/>
    <w:rsid w:val="00516B8C"/>
    <w:rsid w:val="00517DEA"/>
    <w:rsid w:val="00521060"/>
    <w:rsid w:val="005239A2"/>
    <w:rsid w:val="00523EA9"/>
    <w:rsid w:val="00524329"/>
    <w:rsid w:val="005248BA"/>
    <w:rsid w:val="00525DF4"/>
    <w:rsid w:val="00531AE7"/>
    <w:rsid w:val="0053242C"/>
    <w:rsid w:val="00533497"/>
    <w:rsid w:val="005344B4"/>
    <w:rsid w:val="0053585A"/>
    <w:rsid w:val="0053659A"/>
    <w:rsid w:val="00537E01"/>
    <w:rsid w:val="0054101E"/>
    <w:rsid w:val="00541A80"/>
    <w:rsid w:val="00542099"/>
    <w:rsid w:val="00544AF1"/>
    <w:rsid w:val="00547D40"/>
    <w:rsid w:val="0055168F"/>
    <w:rsid w:val="00551DAD"/>
    <w:rsid w:val="0055283C"/>
    <w:rsid w:val="0055336F"/>
    <w:rsid w:val="00556886"/>
    <w:rsid w:val="00560345"/>
    <w:rsid w:val="005619D6"/>
    <w:rsid w:val="00561EAF"/>
    <w:rsid w:val="00564E0A"/>
    <w:rsid w:val="005672EA"/>
    <w:rsid w:val="00571138"/>
    <w:rsid w:val="0057126B"/>
    <w:rsid w:val="00572A6A"/>
    <w:rsid w:val="00582C32"/>
    <w:rsid w:val="00582E44"/>
    <w:rsid w:val="005840D2"/>
    <w:rsid w:val="005842BF"/>
    <w:rsid w:val="00584697"/>
    <w:rsid w:val="005853A3"/>
    <w:rsid w:val="00585559"/>
    <w:rsid w:val="0058598B"/>
    <w:rsid w:val="005875B4"/>
    <w:rsid w:val="00587BA6"/>
    <w:rsid w:val="00590D9F"/>
    <w:rsid w:val="00591071"/>
    <w:rsid w:val="005935C9"/>
    <w:rsid w:val="0059371B"/>
    <w:rsid w:val="005A2043"/>
    <w:rsid w:val="005A2666"/>
    <w:rsid w:val="005A6F0C"/>
    <w:rsid w:val="005B040E"/>
    <w:rsid w:val="005B61EC"/>
    <w:rsid w:val="005B6FFE"/>
    <w:rsid w:val="005B7B5B"/>
    <w:rsid w:val="005C114A"/>
    <w:rsid w:val="005C62C4"/>
    <w:rsid w:val="005D0508"/>
    <w:rsid w:val="005D1C3A"/>
    <w:rsid w:val="005D294B"/>
    <w:rsid w:val="005D370B"/>
    <w:rsid w:val="005D4218"/>
    <w:rsid w:val="005D460B"/>
    <w:rsid w:val="005D516A"/>
    <w:rsid w:val="005D56CB"/>
    <w:rsid w:val="005D7FD4"/>
    <w:rsid w:val="005E0925"/>
    <w:rsid w:val="005E3374"/>
    <w:rsid w:val="005E522E"/>
    <w:rsid w:val="005E6594"/>
    <w:rsid w:val="005E7E80"/>
    <w:rsid w:val="005F0672"/>
    <w:rsid w:val="005F5E5D"/>
    <w:rsid w:val="005F754B"/>
    <w:rsid w:val="006002E7"/>
    <w:rsid w:val="0060529C"/>
    <w:rsid w:val="00606226"/>
    <w:rsid w:val="00607A16"/>
    <w:rsid w:val="006106FE"/>
    <w:rsid w:val="00613633"/>
    <w:rsid w:val="00614215"/>
    <w:rsid w:val="00616B3A"/>
    <w:rsid w:val="00616D0F"/>
    <w:rsid w:val="0061778E"/>
    <w:rsid w:val="006207DE"/>
    <w:rsid w:val="00621F65"/>
    <w:rsid w:val="00626943"/>
    <w:rsid w:val="0062694B"/>
    <w:rsid w:val="006309B4"/>
    <w:rsid w:val="006338A8"/>
    <w:rsid w:val="006342D6"/>
    <w:rsid w:val="00634A9D"/>
    <w:rsid w:val="00634DB9"/>
    <w:rsid w:val="0063610A"/>
    <w:rsid w:val="00636D2C"/>
    <w:rsid w:val="006371F7"/>
    <w:rsid w:val="00640B3D"/>
    <w:rsid w:val="006433CF"/>
    <w:rsid w:val="00644499"/>
    <w:rsid w:val="0064510F"/>
    <w:rsid w:val="00645A97"/>
    <w:rsid w:val="0065191C"/>
    <w:rsid w:val="00652FF7"/>
    <w:rsid w:val="00656B40"/>
    <w:rsid w:val="00657ED3"/>
    <w:rsid w:val="00660F36"/>
    <w:rsid w:val="00661B9B"/>
    <w:rsid w:val="00662AD5"/>
    <w:rsid w:val="00662B38"/>
    <w:rsid w:val="00672046"/>
    <w:rsid w:val="00681946"/>
    <w:rsid w:val="00682B68"/>
    <w:rsid w:val="006834B1"/>
    <w:rsid w:val="00685E93"/>
    <w:rsid w:val="00686D3D"/>
    <w:rsid w:val="006870D1"/>
    <w:rsid w:val="006878C8"/>
    <w:rsid w:val="0069130C"/>
    <w:rsid w:val="00691EAB"/>
    <w:rsid w:val="006951B6"/>
    <w:rsid w:val="00695268"/>
    <w:rsid w:val="0069528C"/>
    <w:rsid w:val="00695896"/>
    <w:rsid w:val="006A09C2"/>
    <w:rsid w:val="006A2638"/>
    <w:rsid w:val="006A36C9"/>
    <w:rsid w:val="006A3CCC"/>
    <w:rsid w:val="006A5C65"/>
    <w:rsid w:val="006B0210"/>
    <w:rsid w:val="006B1000"/>
    <w:rsid w:val="006B30D7"/>
    <w:rsid w:val="006B45A0"/>
    <w:rsid w:val="006B5E3C"/>
    <w:rsid w:val="006C60AE"/>
    <w:rsid w:val="006C677B"/>
    <w:rsid w:val="006C776C"/>
    <w:rsid w:val="006D0043"/>
    <w:rsid w:val="006D2A12"/>
    <w:rsid w:val="006D3CB6"/>
    <w:rsid w:val="006D434C"/>
    <w:rsid w:val="006D76EF"/>
    <w:rsid w:val="006E0D9C"/>
    <w:rsid w:val="006E322F"/>
    <w:rsid w:val="006E4300"/>
    <w:rsid w:val="006E5BD2"/>
    <w:rsid w:val="006E6B84"/>
    <w:rsid w:val="006E6FE9"/>
    <w:rsid w:val="006F0763"/>
    <w:rsid w:val="006F137D"/>
    <w:rsid w:val="006F4EA4"/>
    <w:rsid w:val="006F530F"/>
    <w:rsid w:val="006F644D"/>
    <w:rsid w:val="006F6C43"/>
    <w:rsid w:val="006F791F"/>
    <w:rsid w:val="007004FF"/>
    <w:rsid w:val="00700F09"/>
    <w:rsid w:val="00702CDF"/>
    <w:rsid w:val="00704C14"/>
    <w:rsid w:val="007065BC"/>
    <w:rsid w:val="00707B3E"/>
    <w:rsid w:val="0071017F"/>
    <w:rsid w:val="00710659"/>
    <w:rsid w:val="0071116D"/>
    <w:rsid w:val="007112BF"/>
    <w:rsid w:val="007171CD"/>
    <w:rsid w:val="00717EB0"/>
    <w:rsid w:val="00720A56"/>
    <w:rsid w:val="0072176E"/>
    <w:rsid w:val="00722387"/>
    <w:rsid w:val="00723454"/>
    <w:rsid w:val="007270F5"/>
    <w:rsid w:val="007277DE"/>
    <w:rsid w:val="00730035"/>
    <w:rsid w:val="00731258"/>
    <w:rsid w:val="007320A6"/>
    <w:rsid w:val="00732E68"/>
    <w:rsid w:val="00740374"/>
    <w:rsid w:val="007445DA"/>
    <w:rsid w:val="00752930"/>
    <w:rsid w:val="00753BD7"/>
    <w:rsid w:val="00755107"/>
    <w:rsid w:val="00757079"/>
    <w:rsid w:val="007578AF"/>
    <w:rsid w:val="00761444"/>
    <w:rsid w:val="00761A74"/>
    <w:rsid w:val="007638AC"/>
    <w:rsid w:val="00764F42"/>
    <w:rsid w:val="00765172"/>
    <w:rsid w:val="007658B1"/>
    <w:rsid w:val="00765DF6"/>
    <w:rsid w:val="00766454"/>
    <w:rsid w:val="00772226"/>
    <w:rsid w:val="00776971"/>
    <w:rsid w:val="00777B6C"/>
    <w:rsid w:val="007812CE"/>
    <w:rsid w:val="00781C4D"/>
    <w:rsid w:val="00783E60"/>
    <w:rsid w:val="00784FC0"/>
    <w:rsid w:val="00785062"/>
    <w:rsid w:val="0078522C"/>
    <w:rsid w:val="00787323"/>
    <w:rsid w:val="007907DD"/>
    <w:rsid w:val="00790B1C"/>
    <w:rsid w:val="00792C79"/>
    <w:rsid w:val="00795593"/>
    <w:rsid w:val="00795724"/>
    <w:rsid w:val="00797F00"/>
    <w:rsid w:val="007A16E9"/>
    <w:rsid w:val="007A4CC0"/>
    <w:rsid w:val="007A7A2B"/>
    <w:rsid w:val="007B0091"/>
    <w:rsid w:val="007B23C8"/>
    <w:rsid w:val="007B3363"/>
    <w:rsid w:val="007B4F85"/>
    <w:rsid w:val="007B59CA"/>
    <w:rsid w:val="007C2F01"/>
    <w:rsid w:val="007C361C"/>
    <w:rsid w:val="007C37E7"/>
    <w:rsid w:val="007C3E13"/>
    <w:rsid w:val="007C5153"/>
    <w:rsid w:val="007C516A"/>
    <w:rsid w:val="007C729F"/>
    <w:rsid w:val="007C7D98"/>
    <w:rsid w:val="007D55C7"/>
    <w:rsid w:val="007D7963"/>
    <w:rsid w:val="007E09BB"/>
    <w:rsid w:val="007E0FEB"/>
    <w:rsid w:val="007E160D"/>
    <w:rsid w:val="007E42E5"/>
    <w:rsid w:val="007E57BE"/>
    <w:rsid w:val="007E73DE"/>
    <w:rsid w:val="007E77B5"/>
    <w:rsid w:val="007F0221"/>
    <w:rsid w:val="007F05BF"/>
    <w:rsid w:val="007F1262"/>
    <w:rsid w:val="007F4D3B"/>
    <w:rsid w:val="007F5E01"/>
    <w:rsid w:val="008028CC"/>
    <w:rsid w:val="008029D6"/>
    <w:rsid w:val="00803137"/>
    <w:rsid w:val="00804547"/>
    <w:rsid w:val="00804797"/>
    <w:rsid w:val="008140E2"/>
    <w:rsid w:val="00816C6B"/>
    <w:rsid w:val="00820EF6"/>
    <w:rsid w:val="0082100A"/>
    <w:rsid w:val="00822066"/>
    <w:rsid w:val="00823B27"/>
    <w:rsid w:val="00825677"/>
    <w:rsid w:val="00825EC6"/>
    <w:rsid w:val="008267BF"/>
    <w:rsid w:val="008270D2"/>
    <w:rsid w:val="008336E9"/>
    <w:rsid w:val="00833E71"/>
    <w:rsid w:val="00836B10"/>
    <w:rsid w:val="00836C58"/>
    <w:rsid w:val="00843875"/>
    <w:rsid w:val="0084395D"/>
    <w:rsid w:val="00844B9E"/>
    <w:rsid w:val="008462CF"/>
    <w:rsid w:val="00846859"/>
    <w:rsid w:val="0084796E"/>
    <w:rsid w:val="00851224"/>
    <w:rsid w:val="008513E8"/>
    <w:rsid w:val="008515F9"/>
    <w:rsid w:val="00851A48"/>
    <w:rsid w:val="00851B43"/>
    <w:rsid w:val="00852234"/>
    <w:rsid w:val="00855C44"/>
    <w:rsid w:val="008565CB"/>
    <w:rsid w:val="00856B02"/>
    <w:rsid w:val="00860DF7"/>
    <w:rsid w:val="008614A2"/>
    <w:rsid w:val="008651D3"/>
    <w:rsid w:val="0087225C"/>
    <w:rsid w:val="008747ED"/>
    <w:rsid w:val="00877B49"/>
    <w:rsid w:val="00881607"/>
    <w:rsid w:val="00882B76"/>
    <w:rsid w:val="00883774"/>
    <w:rsid w:val="00885A70"/>
    <w:rsid w:val="00885DFF"/>
    <w:rsid w:val="008902CC"/>
    <w:rsid w:val="008905C2"/>
    <w:rsid w:val="00892254"/>
    <w:rsid w:val="008A08A0"/>
    <w:rsid w:val="008A148E"/>
    <w:rsid w:val="008A57EF"/>
    <w:rsid w:val="008A65A0"/>
    <w:rsid w:val="008A7354"/>
    <w:rsid w:val="008A7815"/>
    <w:rsid w:val="008B43C5"/>
    <w:rsid w:val="008B4431"/>
    <w:rsid w:val="008B467C"/>
    <w:rsid w:val="008B4A54"/>
    <w:rsid w:val="008B6F5E"/>
    <w:rsid w:val="008B74FB"/>
    <w:rsid w:val="008C0A89"/>
    <w:rsid w:val="008C1E61"/>
    <w:rsid w:val="008C2097"/>
    <w:rsid w:val="008C30F5"/>
    <w:rsid w:val="008C3E04"/>
    <w:rsid w:val="008C4E0B"/>
    <w:rsid w:val="008C5DEE"/>
    <w:rsid w:val="008C7782"/>
    <w:rsid w:val="008D129D"/>
    <w:rsid w:val="008D3DEA"/>
    <w:rsid w:val="008D4CD5"/>
    <w:rsid w:val="008D5587"/>
    <w:rsid w:val="008D5DF1"/>
    <w:rsid w:val="008D733B"/>
    <w:rsid w:val="008D7E7E"/>
    <w:rsid w:val="008E0610"/>
    <w:rsid w:val="008E1A9C"/>
    <w:rsid w:val="008E23B8"/>
    <w:rsid w:val="008E2CE4"/>
    <w:rsid w:val="008E3D7F"/>
    <w:rsid w:val="008E673E"/>
    <w:rsid w:val="008F18E2"/>
    <w:rsid w:val="008F20DB"/>
    <w:rsid w:val="008F309A"/>
    <w:rsid w:val="008F4EAE"/>
    <w:rsid w:val="00907638"/>
    <w:rsid w:val="00910E16"/>
    <w:rsid w:val="00911367"/>
    <w:rsid w:val="0091283C"/>
    <w:rsid w:val="00913F63"/>
    <w:rsid w:val="00914BC5"/>
    <w:rsid w:val="00916264"/>
    <w:rsid w:val="00916279"/>
    <w:rsid w:val="00917BC2"/>
    <w:rsid w:val="00920C2C"/>
    <w:rsid w:val="00923444"/>
    <w:rsid w:val="00923740"/>
    <w:rsid w:val="00925065"/>
    <w:rsid w:val="00926494"/>
    <w:rsid w:val="00931BDD"/>
    <w:rsid w:val="00934526"/>
    <w:rsid w:val="00935E87"/>
    <w:rsid w:val="0093609A"/>
    <w:rsid w:val="0093642A"/>
    <w:rsid w:val="009366B9"/>
    <w:rsid w:val="00940580"/>
    <w:rsid w:val="0094284C"/>
    <w:rsid w:val="00942E47"/>
    <w:rsid w:val="00944245"/>
    <w:rsid w:val="009449F2"/>
    <w:rsid w:val="00945534"/>
    <w:rsid w:val="00946F16"/>
    <w:rsid w:val="009501EC"/>
    <w:rsid w:val="009514B7"/>
    <w:rsid w:val="00952100"/>
    <w:rsid w:val="00952268"/>
    <w:rsid w:val="00953B8B"/>
    <w:rsid w:val="00954536"/>
    <w:rsid w:val="00954552"/>
    <w:rsid w:val="00954CC8"/>
    <w:rsid w:val="00960BED"/>
    <w:rsid w:val="009641DC"/>
    <w:rsid w:val="00966527"/>
    <w:rsid w:val="00967875"/>
    <w:rsid w:val="00971AE8"/>
    <w:rsid w:val="00971B94"/>
    <w:rsid w:val="00973D15"/>
    <w:rsid w:val="009741F1"/>
    <w:rsid w:val="00977CC7"/>
    <w:rsid w:val="0098079B"/>
    <w:rsid w:val="00980C59"/>
    <w:rsid w:val="009858CC"/>
    <w:rsid w:val="00986805"/>
    <w:rsid w:val="00986F48"/>
    <w:rsid w:val="0099109C"/>
    <w:rsid w:val="00991568"/>
    <w:rsid w:val="009929DD"/>
    <w:rsid w:val="009961DC"/>
    <w:rsid w:val="00996979"/>
    <w:rsid w:val="009A0146"/>
    <w:rsid w:val="009A1E6B"/>
    <w:rsid w:val="009A33E3"/>
    <w:rsid w:val="009A4155"/>
    <w:rsid w:val="009A4D74"/>
    <w:rsid w:val="009A4F1C"/>
    <w:rsid w:val="009A6F9B"/>
    <w:rsid w:val="009A70F9"/>
    <w:rsid w:val="009A71B3"/>
    <w:rsid w:val="009B066C"/>
    <w:rsid w:val="009B5D30"/>
    <w:rsid w:val="009C2FEE"/>
    <w:rsid w:val="009C38A5"/>
    <w:rsid w:val="009C5286"/>
    <w:rsid w:val="009C6354"/>
    <w:rsid w:val="009C6378"/>
    <w:rsid w:val="009C7215"/>
    <w:rsid w:val="009D633A"/>
    <w:rsid w:val="009D73D6"/>
    <w:rsid w:val="009E14CD"/>
    <w:rsid w:val="009E2625"/>
    <w:rsid w:val="009E3806"/>
    <w:rsid w:val="009E3F4B"/>
    <w:rsid w:val="009E5086"/>
    <w:rsid w:val="009E5366"/>
    <w:rsid w:val="009E6041"/>
    <w:rsid w:val="009E6432"/>
    <w:rsid w:val="009E6769"/>
    <w:rsid w:val="009E7B13"/>
    <w:rsid w:val="009E7EE1"/>
    <w:rsid w:val="009F407B"/>
    <w:rsid w:val="009F5F61"/>
    <w:rsid w:val="009F723A"/>
    <w:rsid w:val="00A024C4"/>
    <w:rsid w:val="00A044D2"/>
    <w:rsid w:val="00A04FE3"/>
    <w:rsid w:val="00A05F00"/>
    <w:rsid w:val="00A1040A"/>
    <w:rsid w:val="00A10411"/>
    <w:rsid w:val="00A17C12"/>
    <w:rsid w:val="00A218A1"/>
    <w:rsid w:val="00A250E8"/>
    <w:rsid w:val="00A26F30"/>
    <w:rsid w:val="00A26F72"/>
    <w:rsid w:val="00A271E7"/>
    <w:rsid w:val="00A309FD"/>
    <w:rsid w:val="00A30BE2"/>
    <w:rsid w:val="00A30CF8"/>
    <w:rsid w:val="00A32F73"/>
    <w:rsid w:val="00A33B0E"/>
    <w:rsid w:val="00A34C1C"/>
    <w:rsid w:val="00A354B6"/>
    <w:rsid w:val="00A35C19"/>
    <w:rsid w:val="00A40168"/>
    <w:rsid w:val="00A408F3"/>
    <w:rsid w:val="00A4095D"/>
    <w:rsid w:val="00A45809"/>
    <w:rsid w:val="00A47A7E"/>
    <w:rsid w:val="00A50838"/>
    <w:rsid w:val="00A5292C"/>
    <w:rsid w:val="00A5372C"/>
    <w:rsid w:val="00A5572D"/>
    <w:rsid w:val="00A565D4"/>
    <w:rsid w:val="00A565EE"/>
    <w:rsid w:val="00A568ED"/>
    <w:rsid w:val="00A56A08"/>
    <w:rsid w:val="00A63442"/>
    <w:rsid w:val="00A64575"/>
    <w:rsid w:val="00A656EB"/>
    <w:rsid w:val="00A66444"/>
    <w:rsid w:val="00A6760E"/>
    <w:rsid w:val="00A676C4"/>
    <w:rsid w:val="00A721C1"/>
    <w:rsid w:val="00A72CB7"/>
    <w:rsid w:val="00A73726"/>
    <w:rsid w:val="00A76499"/>
    <w:rsid w:val="00A803AD"/>
    <w:rsid w:val="00A80BF2"/>
    <w:rsid w:val="00A812C8"/>
    <w:rsid w:val="00A84CF6"/>
    <w:rsid w:val="00A850EB"/>
    <w:rsid w:val="00A917F7"/>
    <w:rsid w:val="00A91A14"/>
    <w:rsid w:val="00A91B3F"/>
    <w:rsid w:val="00A932E1"/>
    <w:rsid w:val="00A9397E"/>
    <w:rsid w:val="00A93F86"/>
    <w:rsid w:val="00A957C7"/>
    <w:rsid w:val="00A965E7"/>
    <w:rsid w:val="00A9683E"/>
    <w:rsid w:val="00AA098D"/>
    <w:rsid w:val="00AA1C02"/>
    <w:rsid w:val="00AA3046"/>
    <w:rsid w:val="00AA3F18"/>
    <w:rsid w:val="00AA54A9"/>
    <w:rsid w:val="00AA73AF"/>
    <w:rsid w:val="00AA74F3"/>
    <w:rsid w:val="00AB0E33"/>
    <w:rsid w:val="00AB1008"/>
    <w:rsid w:val="00AB32E9"/>
    <w:rsid w:val="00AB52D5"/>
    <w:rsid w:val="00AB7B76"/>
    <w:rsid w:val="00AC0293"/>
    <w:rsid w:val="00AC0E96"/>
    <w:rsid w:val="00AC33C4"/>
    <w:rsid w:val="00AC42EE"/>
    <w:rsid w:val="00AC5F43"/>
    <w:rsid w:val="00AD3906"/>
    <w:rsid w:val="00AD3AE8"/>
    <w:rsid w:val="00AD558A"/>
    <w:rsid w:val="00AE0938"/>
    <w:rsid w:val="00AE102B"/>
    <w:rsid w:val="00AE17B5"/>
    <w:rsid w:val="00AE374E"/>
    <w:rsid w:val="00AE40C8"/>
    <w:rsid w:val="00AE6938"/>
    <w:rsid w:val="00AF0220"/>
    <w:rsid w:val="00AF1808"/>
    <w:rsid w:val="00AF30AC"/>
    <w:rsid w:val="00AF3243"/>
    <w:rsid w:val="00AF7535"/>
    <w:rsid w:val="00B047B4"/>
    <w:rsid w:val="00B053A7"/>
    <w:rsid w:val="00B063D1"/>
    <w:rsid w:val="00B073FE"/>
    <w:rsid w:val="00B1191D"/>
    <w:rsid w:val="00B13DAA"/>
    <w:rsid w:val="00B14139"/>
    <w:rsid w:val="00B1736A"/>
    <w:rsid w:val="00B21E8C"/>
    <w:rsid w:val="00B220E8"/>
    <w:rsid w:val="00B2298D"/>
    <w:rsid w:val="00B24A41"/>
    <w:rsid w:val="00B2600C"/>
    <w:rsid w:val="00B3046D"/>
    <w:rsid w:val="00B338DB"/>
    <w:rsid w:val="00B33BEB"/>
    <w:rsid w:val="00B40FF6"/>
    <w:rsid w:val="00B41D5B"/>
    <w:rsid w:val="00B42C11"/>
    <w:rsid w:val="00B44325"/>
    <w:rsid w:val="00B453AE"/>
    <w:rsid w:val="00B4542F"/>
    <w:rsid w:val="00B50A53"/>
    <w:rsid w:val="00B5301B"/>
    <w:rsid w:val="00B54C81"/>
    <w:rsid w:val="00B5546B"/>
    <w:rsid w:val="00B57F47"/>
    <w:rsid w:val="00B606C4"/>
    <w:rsid w:val="00B62A87"/>
    <w:rsid w:val="00B62AC4"/>
    <w:rsid w:val="00B639EC"/>
    <w:rsid w:val="00B668E0"/>
    <w:rsid w:val="00B67D40"/>
    <w:rsid w:val="00B7053B"/>
    <w:rsid w:val="00B71CCD"/>
    <w:rsid w:val="00B72CE9"/>
    <w:rsid w:val="00B72F59"/>
    <w:rsid w:val="00B7733F"/>
    <w:rsid w:val="00B839E8"/>
    <w:rsid w:val="00B84082"/>
    <w:rsid w:val="00B853BF"/>
    <w:rsid w:val="00B85E18"/>
    <w:rsid w:val="00B90558"/>
    <w:rsid w:val="00B918F6"/>
    <w:rsid w:val="00B93A9C"/>
    <w:rsid w:val="00B961FB"/>
    <w:rsid w:val="00B96314"/>
    <w:rsid w:val="00B974B3"/>
    <w:rsid w:val="00BA568E"/>
    <w:rsid w:val="00BA6E02"/>
    <w:rsid w:val="00BA742A"/>
    <w:rsid w:val="00BA7BFD"/>
    <w:rsid w:val="00BB20DD"/>
    <w:rsid w:val="00BB2BB2"/>
    <w:rsid w:val="00BB31EA"/>
    <w:rsid w:val="00BB332D"/>
    <w:rsid w:val="00BB3A74"/>
    <w:rsid w:val="00BB503A"/>
    <w:rsid w:val="00BC0A5B"/>
    <w:rsid w:val="00BC3D91"/>
    <w:rsid w:val="00BC5D8E"/>
    <w:rsid w:val="00BC79F5"/>
    <w:rsid w:val="00BD04C4"/>
    <w:rsid w:val="00BD062D"/>
    <w:rsid w:val="00BE099F"/>
    <w:rsid w:val="00BE1095"/>
    <w:rsid w:val="00BE3C7A"/>
    <w:rsid w:val="00BE5EE9"/>
    <w:rsid w:val="00BF04AA"/>
    <w:rsid w:val="00BF3B33"/>
    <w:rsid w:val="00BF539B"/>
    <w:rsid w:val="00BF60B5"/>
    <w:rsid w:val="00BF770B"/>
    <w:rsid w:val="00C0049F"/>
    <w:rsid w:val="00C03B8A"/>
    <w:rsid w:val="00C04943"/>
    <w:rsid w:val="00C05108"/>
    <w:rsid w:val="00C07F42"/>
    <w:rsid w:val="00C10328"/>
    <w:rsid w:val="00C11F22"/>
    <w:rsid w:val="00C14B7E"/>
    <w:rsid w:val="00C170AB"/>
    <w:rsid w:val="00C17FC4"/>
    <w:rsid w:val="00C20A3B"/>
    <w:rsid w:val="00C213BD"/>
    <w:rsid w:val="00C255AB"/>
    <w:rsid w:val="00C31DC2"/>
    <w:rsid w:val="00C361E2"/>
    <w:rsid w:val="00C37292"/>
    <w:rsid w:val="00C521CB"/>
    <w:rsid w:val="00C55D40"/>
    <w:rsid w:val="00C560BF"/>
    <w:rsid w:val="00C5650D"/>
    <w:rsid w:val="00C56F26"/>
    <w:rsid w:val="00C62E84"/>
    <w:rsid w:val="00C63283"/>
    <w:rsid w:val="00C65FD6"/>
    <w:rsid w:val="00C66388"/>
    <w:rsid w:val="00C66528"/>
    <w:rsid w:val="00C70E8E"/>
    <w:rsid w:val="00C71E56"/>
    <w:rsid w:val="00C730E6"/>
    <w:rsid w:val="00C743AC"/>
    <w:rsid w:val="00C75576"/>
    <w:rsid w:val="00C77DE0"/>
    <w:rsid w:val="00C84C4F"/>
    <w:rsid w:val="00C8681F"/>
    <w:rsid w:val="00C91519"/>
    <w:rsid w:val="00C92158"/>
    <w:rsid w:val="00C94115"/>
    <w:rsid w:val="00C964AC"/>
    <w:rsid w:val="00CA0A8F"/>
    <w:rsid w:val="00CA39E1"/>
    <w:rsid w:val="00CA6035"/>
    <w:rsid w:val="00CA6945"/>
    <w:rsid w:val="00CA6AEB"/>
    <w:rsid w:val="00CA7818"/>
    <w:rsid w:val="00CB264C"/>
    <w:rsid w:val="00CB2AB1"/>
    <w:rsid w:val="00CB5DC0"/>
    <w:rsid w:val="00CB71C2"/>
    <w:rsid w:val="00CB79DF"/>
    <w:rsid w:val="00CC0572"/>
    <w:rsid w:val="00CC0A53"/>
    <w:rsid w:val="00CC5184"/>
    <w:rsid w:val="00CC5C61"/>
    <w:rsid w:val="00CD054F"/>
    <w:rsid w:val="00CD650C"/>
    <w:rsid w:val="00CD6CB8"/>
    <w:rsid w:val="00CE1BEC"/>
    <w:rsid w:val="00CE2B21"/>
    <w:rsid w:val="00CE2B8A"/>
    <w:rsid w:val="00CE513F"/>
    <w:rsid w:val="00CE6909"/>
    <w:rsid w:val="00CE71C9"/>
    <w:rsid w:val="00CF15D3"/>
    <w:rsid w:val="00CF19E1"/>
    <w:rsid w:val="00CF26FE"/>
    <w:rsid w:val="00CF2AE4"/>
    <w:rsid w:val="00CF58EE"/>
    <w:rsid w:val="00CF66EB"/>
    <w:rsid w:val="00D00783"/>
    <w:rsid w:val="00D03EEA"/>
    <w:rsid w:val="00D06641"/>
    <w:rsid w:val="00D068F0"/>
    <w:rsid w:val="00D07858"/>
    <w:rsid w:val="00D10DAB"/>
    <w:rsid w:val="00D114EA"/>
    <w:rsid w:val="00D145AC"/>
    <w:rsid w:val="00D1535F"/>
    <w:rsid w:val="00D20462"/>
    <w:rsid w:val="00D23108"/>
    <w:rsid w:val="00D24A16"/>
    <w:rsid w:val="00D25143"/>
    <w:rsid w:val="00D26BD3"/>
    <w:rsid w:val="00D30D2A"/>
    <w:rsid w:val="00D316C9"/>
    <w:rsid w:val="00D31824"/>
    <w:rsid w:val="00D3381B"/>
    <w:rsid w:val="00D42016"/>
    <w:rsid w:val="00D4254B"/>
    <w:rsid w:val="00D43940"/>
    <w:rsid w:val="00D4438C"/>
    <w:rsid w:val="00D44EAF"/>
    <w:rsid w:val="00D456F4"/>
    <w:rsid w:val="00D466E1"/>
    <w:rsid w:val="00D50CB4"/>
    <w:rsid w:val="00D512AE"/>
    <w:rsid w:val="00D515BB"/>
    <w:rsid w:val="00D5433E"/>
    <w:rsid w:val="00D555A7"/>
    <w:rsid w:val="00D572BC"/>
    <w:rsid w:val="00D60ED2"/>
    <w:rsid w:val="00D643A6"/>
    <w:rsid w:val="00D6538F"/>
    <w:rsid w:val="00D65EBF"/>
    <w:rsid w:val="00D7235B"/>
    <w:rsid w:val="00D724AD"/>
    <w:rsid w:val="00D727C0"/>
    <w:rsid w:val="00D7316F"/>
    <w:rsid w:val="00D73A85"/>
    <w:rsid w:val="00D74B69"/>
    <w:rsid w:val="00D76610"/>
    <w:rsid w:val="00D7689A"/>
    <w:rsid w:val="00D768B2"/>
    <w:rsid w:val="00D76C33"/>
    <w:rsid w:val="00D76FD2"/>
    <w:rsid w:val="00D77365"/>
    <w:rsid w:val="00D82612"/>
    <w:rsid w:val="00D85157"/>
    <w:rsid w:val="00D87340"/>
    <w:rsid w:val="00D902DB"/>
    <w:rsid w:val="00D92C95"/>
    <w:rsid w:val="00DA0EAC"/>
    <w:rsid w:val="00DA20FC"/>
    <w:rsid w:val="00DA36BA"/>
    <w:rsid w:val="00DA5810"/>
    <w:rsid w:val="00DB56A4"/>
    <w:rsid w:val="00DB5A03"/>
    <w:rsid w:val="00DC0F11"/>
    <w:rsid w:val="00DC279C"/>
    <w:rsid w:val="00DD0F0F"/>
    <w:rsid w:val="00DD228A"/>
    <w:rsid w:val="00DD5516"/>
    <w:rsid w:val="00DD6C63"/>
    <w:rsid w:val="00DE1D41"/>
    <w:rsid w:val="00DE3CEA"/>
    <w:rsid w:val="00DE3FAF"/>
    <w:rsid w:val="00DF0822"/>
    <w:rsid w:val="00DF4646"/>
    <w:rsid w:val="00DF489F"/>
    <w:rsid w:val="00DF4E7A"/>
    <w:rsid w:val="00DF612C"/>
    <w:rsid w:val="00E048AA"/>
    <w:rsid w:val="00E06755"/>
    <w:rsid w:val="00E14AC2"/>
    <w:rsid w:val="00E1648C"/>
    <w:rsid w:val="00E169F3"/>
    <w:rsid w:val="00E2065F"/>
    <w:rsid w:val="00E22897"/>
    <w:rsid w:val="00E23F08"/>
    <w:rsid w:val="00E2643E"/>
    <w:rsid w:val="00E276F8"/>
    <w:rsid w:val="00E33F7A"/>
    <w:rsid w:val="00E36F6F"/>
    <w:rsid w:val="00E37A81"/>
    <w:rsid w:val="00E400E1"/>
    <w:rsid w:val="00E4220F"/>
    <w:rsid w:val="00E434CB"/>
    <w:rsid w:val="00E435E0"/>
    <w:rsid w:val="00E45819"/>
    <w:rsid w:val="00E467BB"/>
    <w:rsid w:val="00E477B2"/>
    <w:rsid w:val="00E47C8C"/>
    <w:rsid w:val="00E51F36"/>
    <w:rsid w:val="00E55BA9"/>
    <w:rsid w:val="00E56EBD"/>
    <w:rsid w:val="00E57189"/>
    <w:rsid w:val="00E571E9"/>
    <w:rsid w:val="00E57809"/>
    <w:rsid w:val="00E63B1A"/>
    <w:rsid w:val="00E65351"/>
    <w:rsid w:val="00E65F91"/>
    <w:rsid w:val="00E66802"/>
    <w:rsid w:val="00E67618"/>
    <w:rsid w:val="00E72E3B"/>
    <w:rsid w:val="00E731E8"/>
    <w:rsid w:val="00E766A9"/>
    <w:rsid w:val="00E76D40"/>
    <w:rsid w:val="00E76ECE"/>
    <w:rsid w:val="00E82C7B"/>
    <w:rsid w:val="00E908C0"/>
    <w:rsid w:val="00E909A8"/>
    <w:rsid w:val="00E90A95"/>
    <w:rsid w:val="00E91B62"/>
    <w:rsid w:val="00E91E1F"/>
    <w:rsid w:val="00E95C28"/>
    <w:rsid w:val="00E97AA5"/>
    <w:rsid w:val="00EA1CAC"/>
    <w:rsid w:val="00EA5D9E"/>
    <w:rsid w:val="00EA5FD1"/>
    <w:rsid w:val="00EB1666"/>
    <w:rsid w:val="00EB19DE"/>
    <w:rsid w:val="00EB32F2"/>
    <w:rsid w:val="00EB4124"/>
    <w:rsid w:val="00EB4A7A"/>
    <w:rsid w:val="00EB4EFA"/>
    <w:rsid w:val="00EC09FB"/>
    <w:rsid w:val="00EC0C39"/>
    <w:rsid w:val="00EC37E8"/>
    <w:rsid w:val="00EC7136"/>
    <w:rsid w:val="00EC7D5C"/>
    <w:rsid w:val="00ED108D"/>
    <w:rsid w:val="00ED24DC"/>
    <w:rsid w:val="00ED2551"/>
    <w:rsid w:val="00ED3957"/>
    <w:rsid w:val="00EE0DDA"/>
    <w:rsid w:val="00EE22F7"/>
    <w:rsid w:val="00EE2FF9"/>
    <w:rsid w:val="00EE3096"/>
    <w:rsid w:val="00EE33EB"/>
    <w:rsid w:val="00EE348C"/>
    <w:rsid w:val="00EE4058"/>
    <w:rsid w:val="00EE4781"/>
    <w:rsid w:val="00EE5408"/>
    <w:rsid w:val="00EE7B15"/>
    <w:rsid w:val="00EF0D1F"/>
    <w:rsid w:val="00EF0F1A"/>
    <w:rsid w:val="00EF29B8"/>
    <w:rsid w:val="00EF33FF"/>
    <w:rsid w:val="00EF4525"/>
    <w:rsid w:val="00EF4AAE"/>
    <w:rsid w:val="00EF4EB1"/>
    <w:rsid w:val="00EF533C"/>
    <w:rsid w:val="00EF57DA"/>
    <w:rsid w:val="00EF7413"/>
    <w:rsid w:val="00EF7DDD"/>
    <w:rsid w:val="00F01229"/>
    <w:rsid w:val="00F03019"/>
    <w:rsid w:val="00F03864"/>
    <w:rsid w:val="00F049EC"/>
    <w:rsid w:val="00F055DE"/>
    <w:rsid w:val="00F07730"/>
    <w:rsid w:val="00F07E11"/>
    <w:rsid w:val="00F10DA2"/>
    <w:rsid w:val="00F111E6"/>
    <w:rsid w:val="00F131A1"/>
    <w:rsid w:val="00F148B7"/>
    <w:rsid w:val="00F163C0"/>
    <w:rsid w:val="00F16B28"/>
    <w:rsid w:val="00F171DA"/>
    <w:rsid w:val="00F20FC9"/>
    <w:rsid w:val="00F21D2E"/>
    <w:rsid w:val="00F22FB8"/>
    <w:rsid w:val="00F230BD"/>
    <w:rsid w:val="00F233BE"/>
    <w:rsid w:val="00F25C39"/>
    <w:rsid w:val="00F277D3"/>
    <w:rsid w:val="00F27973"/>
    <w:rsid w:val="00F32548"/>
    <w:rsid w:val="00F345D3"/>
    <w:rsid w:val="00F441F1"/>
    <w:rsid w:val="00F45B1B"/>
    <w:rsid w:val="00F474D8"/>
    <w:rsid w:val="00F51EC4"/>
    <w:rsid w:val="00F53EB2"/>
    <w:rsid w:val="00F616A5"/>
    <w:rsid w:val="00F63EB7"/>
    <w:rsid w:val="00F66207"/>
    <w:rsid w:val="00F66CEA"/>
    <w:rsid w:val="00F67318"/>
    <w:rsid w:val="00F6748C"/>
    <w:rsid w:val="00F70EF4"/>
    <w:rsid w:val="00F710FB"/>
    <w:rsid w:val="00F71DE9"/>
    <w:rsid w:val="00F73A89"/>
    <w:rsid w:val="00F7449A"/>
    <w:rsid w:val="00F800E6"/>
    <w:rsid w:val="00F80633"/>
    <w:rsid w:val="00F80AB8"/>
    <w:rsid w:val="00F82F94"/>
    <w:rsid w:val="00F90484"/>
    <w:rsid w:val="00F9146A"/>
    <w:rsid w:val="00F95B23"/>
    <w:rsid w:val="00FA0C24"/>
    <w:rsid w:val="00FA289F"/>
    <w:rsid w:val="00FA427E"/>
    <w:rsid w:val="00FB16EE"/>
    <w:rsid w:val="00FB1C37"/>
    <w:rsid w:val="00FB2A4F"/>
    <w:rsid w:val="00FB6EEA"/>
    <w:rsid w:val="00FB7D86"/>
    <w:rsid w:val="00FC08E5"/>
    <w:rsid w:val="00FC16A0"/>
    <w:rsid w:val="00FC4EDA"/>
    <w:rsid w:val="00FC5564"/>
    <w:rsid w:val="00FC615B"/>
    <w:rsid w:val="00FC68EA"/>
    <w:rsid w:val="00FC7666"/>
    <w:rsid w:val="00FD0B9F"/>
    <w:rsid w:val="00FD52FE"/>
    <w:rsid w:val="00FD6E00"/>
    <w:rsid w:val="00FE0758"/>
    <w:rsid w:val="00FE13BD"/>
    <w:rsid w:val="00FE1CBD"/>
    <w:rsid w:val="00FE3608"/>
    <w:rsid w:val="00FE4DF5"/>
    <w:rsid w:val="00FE55C3"/>
    <w:rsid w:val="00FE65ED"/>
    <w:rsid w:val="00FE7C7B"/>
    <w:rsid w:val="00FF03E4"/>
    <w:rsid w:val="00FF3229"/>
    <w:rsid w:val="00FF35C4"/>
    <w:rsid w:val="00FF62E2"/>
    <w:rsid w:val="00FF7FCF"/>
    <w:rsid w:val="0151603A"/>
    <w:rsid w:val="016E2E7C"/>
    <w:rsid w:val="01B3097E"/>
    <w:rsid w:val="01FE5989"/>
    <w:rsid w:val="023F2212"/>
    <w:rsid w:val="027E56C3"/>
    <w:rsid w:val="02866093"/>
    <w:rsid w:val="028C11CF"/>
    <w:rsid w:val="02931CA0"/>
    <w:rsid w:val="02E132C9"/>
    <w:rsid w:val="03681C3C"/>
    <w:rsid w:val="03AC38D7"/>
    <w:rsid w:val="03E73901"/>
    <w:rsid w:val="03F12EC7"/>
    <w:rsid w:val="04C11604"/>
    <w:rsid w:val="050339CA"/>
    <w:rsid w:val="050B287F"/>
    <w:rsid w:val="050E236F"/>
    <w:rsid w:val="052C1F57"/>
    <w:rsid w:val="05471C6A"/>
    <w:rsid w:val="057F3A5C"/>
    <w:rsid w:val="05A50F26"/>
    <w:rsid w:val="05D13AC9"/>
    <w:rsid w:val="05D14557"/>
    <w:rsid w:val="05D37841"/>
    <w:rsid w:val="05D73E3B"/>
    <w:rsid w:val="06514B7E"/>
    <w:rsid w:val="067803E8"/>
    <w:rsid w:val="06FB6255"/>
    <w:rsid w:val="070F7027"/>
    <w:rsid w:val="07140111"/>
    <w:rsid w:val="07147093"/>
    <w:rsid w:val="072D6A75"/>
    <w:rsid w:val="077961C6"/>
    <w:rsid w:val="07E55609"/>
    <w:rsid w:val="08114650"/>
    <w:rsid w:val="08183C31"/>
    <w:rsid w:val="082E670F"/>
    <w:rsid w:val="086E55FF"/>
    <w:rsid w:val="08862B80"/>
    <w:rsid w:val="08C6173B"/>
    <w:rsid w:val="08D12032"/>
    <w:rsid w:val="08F655F4"/>
    <w:rsid w:val="092B7994"/>
    <w:rsid w:val="096F5AD2"/>
    <w:rsid w:val="0A075D0B"/>
    <w:rsid w:val="0A0C2A2B"/>
    <w:rsid w:val="0A5E16A3"/>
    <w:rsid w:val="0A9A6B7F"/>
    <w:rsid w:val="0AC01737"/>
    <w:rsid w:val="0AEE6ECB"/>
    <w:rsid w:val="0AFA13CC"/>
    <w:rsid w:val="0B147B56"/>
    <w:rsid w:val="0B1C1C9D"/>
    <w:rsid w:val="0BD73C2A"/>
    <w:rsid w:val="0C264442"/>
    <w:rsid w:val="0C2B3D1C"/>
    <w:rsid w:val="0C571A9D"/>
    <w:rsid w:val="0D3F3A0E"/>
    <w:rsid w:val="0D5B011C"/>
    <w:rsid w:val="0D705975"/>
    <w:rsid w:val="0DB83449"/>
    <w:rsid w:val="0DBC243A"/>
    <w:rsid w:val="0DC3019B"/>
    <w:rsid w:val="0E1704E7"/>
    <w:rsid w:val="0E252C04"/>
    <w:rsid w:val="0E3F3599"/>
    <w:rsid w:val="0E927B6D"/>
    <w:rsid w:val="0E9843E1"/>
    <w:rsid w:val="0EAF4BC3"/>
    <w:rsid w:val="0EC266A4"/>
    <w:rsid w:val="0EC532D1"/>
    <w:rsid w:val="0F0B07AA"/>
    <w:rsid w:val="0F0D000E"/>
    <w:rsid w:val="0F136F00"/>
    <w:rsid w:val="0F7F48B2"/>
    <w:rsid w:val="0F985657"/>
    <w:rsid w:val="0FCA3629"/>
    <w:rsid w:val="100D1BA1"/>
    <w:rsid w:val="102846E2"/>
    <w:rsid w:val="102A2753"/>
    <w:rsid w:val="104D01F0"/>
    <w:rsid w:val="10D34B99"/>
    <w:rsid w:val="10E5667A"/>
    <w:rsid w:val="119F4A7B"/>
    <w:rsid w:val="11AE1162"/>
    <w:rsid w:val="11AF4B82"/>
    <w:rsid w:val="1230601B"/>
    <w:rsid w:val="12371157"/>
    <w:rsid w:val="12577104"/>
    <w:rsid w:val="12900868"/>
    <w:rsid w:val="12AC38F3"/>
    <w:rsid w:val="12AF0CEE"/>
    <w:rsid w:val="12E73B6A"/>
    <w:rsid w:val="12F368C9"/>
    <w:rsid w:val="12F47048"/>
    <w:rsid w:val="13064B76"/>
    <w:rsid w:val="130760B1"/>
    <w:rsid w:val="13223BB5"/>
    <w:rsid w:val="133236CD"/>
    <w:rsid w:val="13781A27"/>
    <w:rsid w:val="137A2819"/>
    <w:rsid w:val="137C022C"/>
    <w:rsid w:val="13A22600"/>
    <w:rsid w:val="13CA117D"/>
    <w:rsid w:val="13E64BE3"/>
    <w:rsid w:val="143A745A"/>
    <w:rsid w:val="148166BA"/>
    <w:rsid w:val="14AA3E63"/>
    <w:rsid w:val="14BB6070"/>
    <w:rsid w:val="14CD5DA3"/>
    <w:rsid w:val="15051099"/>
    <w:rsid w:val="158A3C94"/>
    <w:rsid w:val="15D31197"/>
    <w:rsid w:val="15EE5FD1"/>
    <w:rsid w:val="16843A07"/>
    <w:rsid w:val="16CE195E"/>
    <w:rsid w:val="16E11692"/>
    <w:rsid w:val="16E3540A"/>
    <w:rsid w:val="16FB0279"/>
    <w:rsid w:val="16FF7D6A"/>
    <w:rsid w:val="17342109"/>
    <w:rsid w:val="17845510"/>
    <w:rsid w:val="179C6EBE"/>
    <w:rsid w:val="17D82A95"/>
    <w:rsid w:val="18096901"/>
    <w:rsid w:val="185D11EC"/>
    <w:rsid w:val="187971E2"/>
    <w:rsid w:val="188350F6"/>
    <w:rsid w:val="188E3A9B"/>
    <w:rsid w:val="18956BD8"/>
    <w:rsid w:val="190A203B"/>
    <w:rsid w:val="1975231C"/>
    <w:rsid w:val="19A215AC"/>
    <w:rsid w:val="19AC242B"/>
    <w:rsid w:val="1A2E4BEE"/>
    <w:rsid w:val="1A472154"/>
    <w:rsid w:val="1A67445E"/>
    <w:rsid w:val="1AB07CF9"/>
    <w:rsid w:val="1ACD7B62"/>
    <w:rsid w:val="1AF14A12"/>
    <w:rsid w:val="1B2304CB"/>
    <w:rsid w:val="1B682381"/>
    <w:rsid w:val="1B9211AC"/>
    <w:rsid w:val="1BE37C5A"/>
    <w:rsid w:val="1BEF65FF"/>
    <w:rsid w:val="1C1E650E"/>
    <w:rsid w:val="1C4306F9"/>
    <w:rsid w:val="1C7C742F"/>
    <w:rsid w:val="1C9F0025"/>
    <w:rsid w:val="1D1502E7"/>
    <w:rsid w:val="1D4D5CD3"/>
    <w:rsid w:val="1D8D60CF"/>
    <w:rsid w:val="1DDF211E"/>
    <w:rsid w:val="1E7F010E"/>
    <w:rsid w:val="1EA52725"/>
    <w:rsid w:val="1EA71413"/>
    <w:rsid w:val="1ED57D2E"/>
    <w:rsid w:val="1F066139"/>
    <w:rsid w:val="1F4849A4"/>
    <w:rsid w:val="1F72557D"/>
    <w:rsid w:val="1F923E71"/>
    <w:rsid w:val="1F9279CD"/>
    <w:rsid w:val="1FA228EE"/>
    <w:rsid w:val="1FB742A8"/>
    <w:rsid w:val="1FD20711"/>
    <w:rsid w:val="1FF16DE9"/>
    <w:rsid w:val="203E72A4"/>
    <w:rsid w:val="20702C98"/>
    <w:rsid w:val="20AA343C"/>
    <w:rsid w:val="20B56069"/>
    <w:rsid w:val="20D044CA"/>
    <w:rsid w:val="219006A3"/>
    <w:rsid w:val="21AA36F4"/>
    <w:rsid w:val="21F66939"/>
    <w:rsid w:val="222334A6"/>
    <w:rsid w:val="22425039"/>
    <w:rsid w:val="22682C67"/>
    <w:rsid w:val="228B5CCF"/>
    <w:rsid w:val="229B303C"/>
    <w:rsid w:val="229B4DEB"/>
    <w:rsid w:val="22A223A2"/>
    <w:rsid w:val="22B60DE0"/>
    <w:rsid w:val="22E97748"/>
    <w:rsid w:val="23103A2A"/>
    <w:rsid w:val="238B30B1"/>
    <w:rsid w:val="23AD7468"/>
    <w:rsid w:val="23F92711"/>
    <w:rsid w:val="23FF75FB"/>
    <w:rsid w:val="244020ED"/>
    <w:rsid w:val="246F211E"/>
    <w:rsid w:val="251B66B7"/>
    <w:rsid w:val="251B7D43"/>
    <w:rsid w:val="252A68FA"/>
    <w:rsid w:val="259C15A5"/>
    <w:rsid w:val="25A4045A"/>
    <w:rsid w:val="25DB4DAE"/>
    <w:rsid w:val="26061115"/>
    <w:rsid w:val="2637667A"/>
    <w:rsid w:val="263E265D"/>
    <w:rsid w:val="26451C3D"/>
    <w:rsid w:val="264D1BCF"/>
    <w:rsid w:val="276C1C6C"/>
    <w:rsid w:val="27EA7440"/>
    <w:rsid w:val="280276BA"/>
    <w:rsid w:val="28081174"/>
    <w:rsid w:val="28107B4C"/>
    <w:rsid w:val="285E0D94"/>
    <w:rsid w:val="28B81E48"/>
    <w:rsid w:val="28FB2A87"/>
    <w:rsid w:val="29600E04"/>
    <w:rsid w:val="29690088"/>
    <w:rsid w:val="299D3D9D"/>
    <w:rsid w:val="29A83C1E"/>
    <w:rsid w:val="29AF561F"/>
    <w:rsid w:val="29B35110"/>
    <w:rsid w:val="29C94933"/>
    <w:rsid w:val="29D227F5"/>
    <w:rsid w:val="29DF6206"/>
    <w:rsid w:val="29F55CA1"/>
    <w:rsid w:val="2A434F05"/>
    <w:rsid w:val="2A6E7289"/>
    <w:rsid w:val="2B0E6ACB"/>
    <w:rsid w:val="2B277B63"/>
    <w:rsid w:val="2B3B716B"/>
    <w:rsid w:val="2B4F6E3F"/>
    <w:rsid w:val="2BA54037"/>
    <w:rsid w:val="2BAC1E16"/>
    <w:rsid w:val="2BB26670"/>
    <w:rsid w:val="2C3053CF"/>
    <w:rsid w:val="2C414C55"/>
    <w:rsid w:val="2C424529"/>
    <w:rsid w:val="2CA927FA"/>
    <w:rsid w:val="2CBF3DCB"/>
    <w:rsid w:val="2CD47877"/>
    <w:rsid w:val="2D012636"/>
    <w:rsid w:val="2D8D11E8"/>
    <w:rsid w:val="2D8D7A26"/>
    <w:rsid w:val="2D92328E"/>
    <w:rsid w:val="2DAF2092"/>
    <w:rsid w:val="2DB66F7C"/>
    <w:rsid w:val="2DC31151"/>
    <w:rsid w:val="2DDE35BA"/>
    <w:rsid w:val="2DF06932"/>
    <w:rsid w:val="2E5909B3"/>
    <w:rsid w:val="2E7D5CEC"/>
    <w:rsid w:val="2E861045"/>
    <w:rsid w:val="2F0B32F8"/>
    <w:rsid w:val="2F210781"/>
    <w:rsid w:val="2FEF2C1A"/>
    <w:rsid w:val="303A20E7"/>
    <w:rsid w:val="303B19BB"/>
    <w:rsid w:val="309D53D1"/>
    <w:rsid w:val="30AC4667"/>
    <w:rsid w:val="30BB2AFC"/>
    <w:rsid w:val="30F45F98"/>
    <w:rsid w:val="30F71D86"/>
    <w:rsid w:val="310F6AFE"/>
    <w:rsid w:val="311A3CC6"/>
    <w:rsid w:val="3150454F"/>
    <w:rsid w:val="315A1915"/>
    <w:rsid w:val="315E1E05"/>
    <w:rsid w:val="318C54F8"/>
    <w:rsid w:val="31927FA8"/>
    <w:rsid w:val="3196159F"/>
    <w:rsid w:val="319C0B7F"/>
    <w:rsid w:val="31FC517A"/>
    <w:rsid w:val="320209E2"/>
    <w:rsid w:val="32153BC3"/>
    <w:rsid w:val="32425283"/>
    <w:rsid w:val="325417ED"/>
    <w:rsid w:val="327650E5"/>
    <w:rsid w:val="32851613"/>
    <w:rsid w:val="32852458"/>
    <w:rsid w:val="328533C1"/>
    <w:rsid w:val="32AF043E"/>
    <w:rsid w:val="333467A8"/>
    <w:rsid w:val="33661445"/>
    <w:rsid w:val="33C61EE3"/>
    <w:rsid w:val="340260B7"/>
    <w:rsid w:val="342D5ABF"/>
    <w:rsid w:val="343B01DB"/>
    <w:rsid w:val="3442156A"/>
    <w:rsid w:val="34AE6BFF"/>
    <w:rsid w:val="34BD3731"/>
    <w:rsid w:val="34CC177B"/>
    <w:rsid w:val="34D83C7C"/>
    <w:rsid w:val="35134CB4"/>
    <w:rsid w:val="351A3CD1"/>
    <w:rsid w:val="35563B29"/>
    <w:rsid w:val="355A7397"/>
    <w:rsid w:val="35A87AF3"/>
    <w:rsid w:val="35D5640E"/>
    <w:rsid w:val="35DC154A"/>
    <w:rsid w:val="35F066AD"/>
    <w:rsid w:val="3619279E"/>
    <w:rsid w:val="369260AD"/>
    <w:rsid w:val="36BE6EA2"/>
    <w:rsid w:val="36FB6FA8"/>
    <w:rsid w:val="371A0079"/>
    <w:rsid w:val="3756532C"/>
    <w:rsid w:val="37922C4A"/>
    <w:rsid w:val="38433B03"/>
    <w:rsid w:val="3894610C"/>
    <w:rsid w:val="389C7973"/>
    <w:rsid w:val="389D6C4F"/>
    <w:rsid w:val="38CF183A"/>
    <w:rsid w:val="39064F0C"/>
    <w:rsid w:val="390D5B9F"/>
    <w:rsid w:val="394F3DC5"/>
    <w:rsid w:val="396E2E01"/>
    <w:rsid w:val="397F4F63"/>
    <w:rsid w:val="39B81D84"/>
    <w:rsid w:val="39E62997"/>
    <w:rsid w:val="39EC2E0E"/>
    <w:rsid w:val="3A647D60"/>
    <w:rsid w:val="3A7347F1"/>
    <w:rsid w:val="3AAF722D"/>
    <w:rsid w:val="3AB74334"/>
    <w:rsid w:val="3B3B4F65"/>
    <w:rsid w:val="3B4007CD"/>
    <w:rsid w:val="3B691AD2"/>
    <w:rsid w:val="3B7D732B"/>
    <w:rsid w:val="3B894744"/>
    <w:rsid w:val="3B983F36"/>
    <w:rsid w:val="3BD827B4"/>
    <w:rsid w:val="3BEB5ED3"/>
    <w:rsid w:val="3C1A7270"/>
    <w:rsid w:val="3C2D4D8C"/>
    <w:rsid w:val="3CD63197"/>
    <w:rsid w:val="3D204412"/>
    <w:rsid w:val="3D2C1009"/>
    <w:rsid w:val="3D583E0B"/>
    <w:rsid w:val="3D965DF7"/>
    <w:rsid w:val="3DB80AEF"/>
    <w:rsid w:val="3DE632D2"/>
    <w:rsid w:val="3E021D6A"/>
    <w:rsid w:val="3E491747"/>
    <w:rsid w:val="3E6B4F1A"/>
    <w:rsid w:val="3EA03A5D"/>
    <w:rsid w:val="3EA846BF"/>
    <w:rsid w:val="3F0264C5"/>
    <w:rsid w:val="3F185CE9"/>
    <w:rsid w:val="3F192024"/>
    <w:rsid w:val="3F1A10FB"/>
    <w:rsid w:val="3F1E7077"/>
    <w:rsid w:val="3FB05F21"/>
    <w:rsid w:val="3FCB2D5B"/>
    <w:rsid w:val="402E6E46"/>
    <w:rsid w:val="407231D7"/>
    <w:rsid w:val="40747AD3"/>
    <w:rsid w:val="40CE4185"/>
    <w:rsid w:val="411838B9"/>
    <w:rsid w:val="411F02F9"/>
    <w:rsid w:val="412546ED"/>
    <w:rsid w:val="413B181B"/>
    <w:rsid w:val="414C1C7A"/>
    <w:rsid w:val="41831414"/>
    <w:rsid w:val="41AF3FB7"/>
    <w:rsid w:val="41EC520B"/>
    <w:rsid w:val="41EC6FB9"/>
    <w:rsid w:val="424E557E"/>
    <w:rsid w:val="42554B5E"/>
    <w:rsid w:val="42767034"/>
    <w:rsid w:val="42A653BA"/>
    <w:rsid w:val="42C76941"/>
    <w:rsid w:val="42D33CD5"/>
    <w:rsid w:val="436F1C50"/>
    <w:rsid w:val="43E066A9"/>
    <w:rsid w:val="43FE6BA9"/>
    <w:rsid w:val="4497145E"/>
    <w:rsid w:val="449D27EC"/>
    <w:rsid w:val="44A84C0D"/>
    <w:rsid w:val="44B55D88"/>
    <w:rsid w:val="44B6565C"/>
    <w:rsid w:val="44F248E6"/>
    <w:rsid w:val="451A1577"/>
    <w:rsid w:val="45216F7A"/>
    <w:rsid w:val="454664B5"/>
    <w:rsid w:val="45513D03"/>
    <w:rsid w:val="4561381A"/>
    <w:rsid w:val="45A51959"/>
    <w:rsid w:val="45B20519"/>
    <w:rsid w:val="45B70C87"/>
    <w:rsid w:val="45D24718"/>
    <w:rsid w:val="45E60594"/>
    <w:rsid w:val="46E2098A"/>
    <w:rsid w:val="47136D96"/>
    <w:rsid w:val="4732546E"/>
    <w:rsid w:val="476B6BD2"/>
    <w:rsid w:val="47C22D66"/>
    <w:rsid w:val="47C307BC"/>
    <w:rsid w:val="4809709C"/>
    <w:rsid w:val="480A0199"/>
    <w:rsid w:val="48671147"/>
    <w:rsid w:val="48D569F9"/>
    <w:rsid w:val="490E5C22"/>
    <w:rsid w:val="49195E87"/>
    <w:rsid w:val="492B6619"/>
    <w:rsid w:val="493F3E72"/>
    <w:rsid w:val="49402D39"/>
    <w:rsid w:val="495042D1"/>
    <w:rsid w:val="49520049"/>
    <w:rsid w:val="4966775F"/>
    <w:rsid w:val="49957F36"/>
    <w:rsid w:val="499F11C2"/>
    <w:rsid w:val="49D071C0"/>
    <w:rsid w:val="4A3634C7"/>
    <w:rsid w:val="4A3B6D2F"/>
    <w:rsid w:val="4A6B5B79"/>
    <w:rsid w:val="4B1720AD"/>
    <w:rsid w:val="4B555C31"/>
    <w:rsid w:val="4B96455A"/>
    <w:rsid w:val="4BA3693A"/>
    <w:rsid w:val="4BFA22D2"/>
    <w:rsid w:val="4C5B1DF6"/>
    <w:rsid w:val="4C6F4A6E"/>
    <w:rsid w:val="4C854292"/>
    <w:rsid w:val="4CA54934"/>
    <w:rsid w:val="4CEE1E37"/>
    <w:rsid w:val="4CF213BF"/>
    <w:rsid w:val="4D1A0E7E"/>
    <w:rsid w:val="4D2770F7"/>
    <w:rsid w:val="4D2E66D8"/>
    <w:rsid w:val="4DB829B2"/>
    <w:rsid w:val="4DBF5582"/>
    <w:rsid w:val="4E0538DC"/>
    <w:rsid w:val="4E0B6A5B"/>
    <w:rsid w:val="4E162941"/>
    <w:rsid w:val="4E466FEB"/>
    <w:rsid w:val="4E8270E2"/>
    <w:rsid w:val="4F930465"/>
    <w:rsid w:val="4FE018A1"/>
    <w:rsid w:val="50000824"/>
    <w:rsid w:val="500656EA"/>
    <w:rsid w:val="50A47E99"/>
    <w:rsid w:val="50BB2978"/>
    <w:rsid w:val="50EA6DB9"/>
    <w:rsid w:val="51112598"/>
    <w:rsid w:val="516E3507"/>
    <w:rsid w:val="51A056CA"/>
    <w:rsid w:val="51A923EB"/>
    <w:rsid w:val="51AA1EF9"/>
    <w:rsid w:val="51B61FAC"/>
    <w:rsid w:val="51B751A7"/>
    <w:rsid w:val="51C452E5"/>
    <w:rsid w:val="51FB0B52"/>
    <w:rsid w:val="520F4874"/>
    <w:rsid w:val="52155E0F"/>
    <w:rsid w:val="52A511EA"/>
    <w:rsid w:val="52C35B14"/>
    <w:rsid w:val="52D4387D"/>
    <w:rsid w:val="52DA3410"/>
    <w:rsid w:val="532C5B96"/>
    <w:rsid w:val="53852DC9"/>
    <w:rsid w:val="538643CA"/>
    <w:rsid w:val="5388305B"/>
    <w:rsid w:val="53B24037"/>
    <w:rsid w:val="53F90B68"/>
    <w:rsid w:val="544D1B39"/>
    <w:rsid w:val="546724CF"/>
    <w:rsid w:val="54FB1595"/>
    <w:rsid w:val="55022203"/>
    <w:rsid w:val="55425416"/>
    <w:rsid w:val="558915AD"/>
    <w:rsid w:val="559A1FC3"/>
    <w:rsid w:val="55B1434A"/>
    <w:rsid w:val="55B6370E"/>
    <w:rsid w:val="55DA263D"/>
    <w:rsid w:val="56870811"/>
    <w:rsid w:val="56D27B8C"/>
    <w:rsid w:val="56F43845"/>
    <w:rsid w:val="571C5406"/>
    <w:rsid w:val="573945F7"/>
    <w:rsid w:val="573C7C43"/>
    <w:rsid w:val="57BB14B0"/>
    <w:rsid w:val="57FD5624"/>
    <w:rsid w:val="588B70D4"/>
    <w:rsid w:val="58BD4DB3"/>
    <w:rsid w:val="59547C25"/>
    <w:rsid w:val="5988716F"/>
    <w:rsid w:val="59981AA8"/>
    <w:rsid w:val="5998713C"/>
    <w:rsid w:val="5A0D7A45"/>
    <w:rsid w:val="5A184997"/>
    <w:rsid w:val="5A1F5D26"/>
    <w:rsid w:val="5B57329D"/>
    <w:rsid w:val="5BB64468"/>
    <w:rsid w:val="5C5E5543"/>
    <w:rsid w:val="5C974299"/>
    <w:rsid w:val="5CC6692D"/>
    <w:rsid w:val="5CDA53E7"/>
    <w:rsid w:val="5CF52D6E"/>
    <w:rsid w:val="5D3C274B"/>
    <w:rsid w:val="5D686F31"/>
    <w:rsid w:val="5DEF3C61"/>
    <w:rsid w:val="5E0E058B"/>
    <w:rsid w:val="5E5A6BE3"/>
    <w:rsid w:val="5E7E6FF0"/>
    <w:rsid w:val="5EA467FA"/>
    <w:rsid w:val="5EEA77C7"/>
    <w:rsid w:val="5EEB4428"/>
    <w:rsid w:val="5EFF6126"/>
    <w:rsid w:val="5F0E55AB"/>
    <w:rsid w:val="5F1D035A"/>
    <w:rsid w:val="5F1D65AC"/>
    <w:rsid w:val="5F50072F"/>
    <w:rsid w:val="5F645F89"/>
    <w:rsid w:val="5F7C7776"/>
    <w:rsid w:val="5FA12D39"/>
    <w:rsid w:val="5FD924D3"/>
    <w:rsid w:val="5FEF1CF6"/>
    <w:rsid w:val="5FFE018B"/>
    <w:rsid w:val="60397415"/>
    <w:rsid w:val="6049691C"/>
    <w:rsid w:val="60805F72"/>
    <w:rsid w:val="60C969EB"/>
    <w:rsid w:val="60D15607"/>
    <w:rsid w:val="61077514"/>
    <w:rsid w:val="6131633F"/>
    <w:rsid w:val="61AB4343"/>
    <w:rsid w:val="620F042E"/>
    <w:rsid w:val="623C3FA5"/>
    <w:rsid w:val="624D53FA"/>
    <w:rsid w:val="62AA45FB"/>
    <w:rsid w:val="62E3476A"/>
    <w:rsid w:val="63156017"/>
    <w:rsid w:val="632B573B"/>
    <w:rsid w:val="63343EC4"/>
    <w:rsid w:val="634B15E9"/>
    <w:rsid w:val="63822E81"/>
    <w:rsid w:val="63E5429E"/>
    <w:rsid w:val="64041AE8"/>
    <w:rsid w:val="64283A29"/>
    <w:rsid w:val="646D4250"/>
    <w:rsid w:val="655820EC"/>
    <w:rsid w:val="65591619"/>
    <w:rsid w:val="656B33D9"/>
    <w:rsid w:val="659550EE"/>
    <w:rsid w:val="65E616E6"/>
    <w:rsid w:val="66061B48"/>
    <w:rsid w:val="663F2CBA"/>
    <w:rsid w:val="666010D7"/>
    <w:rsid w:val="66ED4AB6"/>
    <w:rsid w:val="66F619F5"/>
    <w:rsid w:val="67021596"/>
    <w:rsid w:val="67087B42"/>
    <w:rsid w:val="670D6F06"/>
    <w:rsid w:val="67177D85"/>
    <w:rsid w:val="674E7C4A"/>
    <w:rsid w:val="67670D0C"/>
    <w:rsid w:val="677F0F92"/>
    <w:rsid w:val="678C0773"/>
    <w:rsid w:val="67A91325"/>
    <w:rsid w:val="67DF4D46"/>
    <w:rsid w:val="680E1188"/>
    <w:rsid w:val="685F19E3"/>
    <w:rsid w:val="68CB050B"/>
    <w:rsid w:val="68D75A1D"/>
    <w:rsid w:val="68EE3224"/>
    <w:rsid w:val="68F93BE6"/>
    <w:rsid w:val="69132EFA"/>
    <w:rsid w:val="699C1779"/>
    <w:rsid w:val="69A022B3"/>
    <w:rsid w:val="69DC1BD1"/>
    <w:rsid w:val="6A102F95"/>
    <w:rsid w:val="6A1638D0"/>
    <w:rsid w:val="6A6A6489"/>
    <w:rsid w:val="6A8676FB"/>
    <w:rsid w:val="6A974EF2"/>
    <w:rsid w:val="6A9811DC"/>
    <w:rsid w:val="6AD20B92"/>
    <w:rsid w:val="6AE413B3"/>
    <w:rsid w:val="6AEF34F2"/>
    <w:rsid w:val="6AF042AC"/>
    <w:rsid w:val="6B0620EA"/>
    <w:rsid w:val="6B07083C"/>
    <w:rsid w:val="6B511AB7"/>
    <w:rsid w:val="6B981494"/>
    <w:rsid w:val="6B985938"/>
    <w:rsid w:val="6BDA42E1"/>
    <w:rsid w:val="6C384A25"/>
    <w:rsid w:val="6C3D203B"/>
    <w:rsid w:val="6C4E249B"/>
    <w:rsid w:val="6C9E6F7E"/>
    <w:rsid w:val="6CB62EBF"/>
    <w:rsid w:val="6CCB7647"/>
    <w:rsid w:val="6D0917AD"/>
    <w:rsid w:val="6D25144D"/>
    <w:rsid w:val="6D447D4C"/>
    <w:rsid w:val="6D4573FA"/>
    <w:rsid w:val="6D8A12B0"/>
    <w:rsid w:val="6DCF6A4A"/>
    <w:rsid w:val="6DD62748"/>
    <w:rsid w:val="6E630967"/>
    <w:rsid w:val="6E7004A6"/>
    <w:rsid w:val="6E9F3BB8"/>
    <w:rsid w:val="6ED22F0F"/>
    <w:rsid w:val="6EE80984"/>
    <w:rsid w:val="6F2A4AF9"/>
    <w:rsid w:val="6F3B6D06"/>
    <w:rsid w:val="6F9F114D"/>
    <w:rsid w:val="6FAD74D8"/>
    <w:rsid w:val="6FCE0586"/>
    <w:rsid w:val="70074E3A"/>
    <w:rsid w:val="70223DF2"/>
    <w:rsid w:val="7079236D"/>
    <w:rsid w:val="70FC0717"/>
    <w:rsid w:val="71297032"/>
    <w:rsid w:val="713F6856"/>
    <w:rsid w:val="71881FAB"/>
    <w:rsid w:val="71AC5C16"/>
    <w:rsid w:val="71B52674"/>
    <w:rsid w:val="71FC02A3"/>
    <w:rsid w:val="720D62DB"/>
    <w:rsid w:val="72907369"/>
    <w:rsid w:val="72B875F5"/>
    <w:rsid w:val="733F6699"/>
    <w:rsid w:val="735E1215"/>
    <w:rsid w:val="7395275D"/>
    <w:rsid w:val="73DE5EB2"/>
    <w:rsid w:val="7420471D"/>
    <w:rsid w:val="744A79EB"/>
    <w:rsid w:val="74786307"/>
    <w:rsid w:val="74AF0F5C"/>
    <w:rsid w:val="74CF1091"/>
    <w:rsid w:val="750B1268"/>
    <w:rsid w:val="751B2F7A"/>
    <w:rsid w:val="753B10E2"/>
    <w:rsid w:val="75846F2D"/>
    <w:rsid w:val="759058D2"/>
    <w:rsid w:val="75F62EFD"/>
    <w:rsid w:val="760338C7"/>
    <w:rsid w:val="76155571"/>
    <w:rsid w:val="764015B2"/>
    <w:rsid w:val="76642C4E"/>
    <w:rsid w:val="766C59F7"/>
    <w:rsid w:val="768F7938"/>
    <w:rsid w:val="76B13D52"/>
    <w:rsid w:val="76D8241E"/>
    <w:rsid w:val="77053985"/>
    <w:rsid w:val="77553269"/>
    <w:rsid w:val="777F175A"/>
    <w:rsid w:val="77B61D31"/>
    <w:rsid w:val="780C550E"/>
    <w:rsid w:val="78283BA0"/>
    <w:rsid w:val="78342545"/>
    <w:rsid w:val="78434E7D"/>
    <w:rsid w:val="785400E4"/>
    <w:rsid w:val="785E75C1"/>
    <w:rsid w:val="788C1E02"/>
    <w:rsid w:val="78D41862"/>
    <w:rsid w:val="790A14F7"/>
    <w:rsid w:val="790C5A7A"/>
    <w:rsid w:val="792837C9"/>
    <w:rsid w:val="793622EC"/>
    <w:rsid w:val="79371C50"/>
    <w:rsid w:val="795A247F"/>
    <w:rsid w:val="797B3A40"/>
    <w:rsid w:val="79DA35C0"/>
    <w:rsid w:val="7A120B86"/>
    <w:rsid w:val="7A2D7B93"/>
    <w:rsid w:val="7A6335B5"/>
    <w:rsid w:val="7A6A4943"/>
    <w:rsid w:val="7AFD7566"/>
    <w:rsid w:val="7B713AB0"/>
    <w:rsid w:val="7B914152"/>
    <w:rsid w:val="7BC85822"/>
    <w:rsid w:val="7C044924"/>
    <w:rsid w:val="7C1C1C6D"/>
    <w:rsid w:val="7C492337"/>
    <w:rsid w:val="7C4B4301"/>
    <w:rsid w:val="7C5F7DAC"/>
    <w:rsid w:val="7C653614"/>
    <w:rsid w:val="7C655D5E"/>
    <w:rsid w:val="7C9F63FA"/>
    <w:rsid w:val="7CBB3234"/>
    <w:rsid w:val="7CE16335"/>
    <w:rsid w:val="7D4274B2"/>
    <w:rsid w:val="7D9121E7"/>
    <w:rsid w:val="7D943A85"/>
    <w:rsid w:val="7D9B3066"/>
    <w:rsid w:val="7DBA367E"/>
    <w:rsid w:val="7E3A287F"/>
    <w:rsid w:val="7EB77A2B"/>
    <w:rsid w:val="7EC30F7C"/>
    <w:rsid w:val="7EF02F3D"/>
    <w:rsid w:val="7F575CEB"/>
    <w:rsid w:val="7F736048"/>
    <w:rsid w:val="7F8059CB"/>
    <w:rsid w:val="7F8F6BFA"/>
    <w:rsid w:val="7FBE4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72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0"/>
    <w:qFormat/>
    <w:uiPriority w:val="0"/>
    <w:pPr>
      <w:keepNext/>
      <w:keepLines/>
      <w:numPr>
        <w:ilvl w:val="0"/>
        <w:numId w:val="1"/>
      </w:numPr>
      <w:spacing w:before="50" w:beforeLines="50" w:after="50" w:afterLines="50"/>
      <w:ind w:left="0" w:firstLine="0" w:firstLineChars="0"/>
      <w:outlineLvl w:val="0"/>
    </w:pPr>
    <w:rPr>
      <w:b/>
      <w:kern w:val="44"/>
      <w:sz w:val="28"/>
      <w:szCs w:val="20"/>
    </w:rPr>
  </w:style>
  <w:style w:type="paragraph" w:styleId="3">
    <w:name w:val="heading 2"/>
    <w:basedOn w:val="1"/>
    <w:next w:val="1"/>
    <w:link w:val="51"/>
    <w:qFormat/>
    <w:uiPriority w:val="0"/>
    <w:pPr>
      <w:keepNext/>
      <w:keepLines/>
      <w:numPr>
        <w:ilvl w:val="1"/>
        <w:numId w:val="1"/>
      </w:numPr>
      <w:tabs>
        <w:tab w:val="left" w:pos="425"/>
      </w:tabs>
      <w:spacing w:before="50" w:beforeLines="50" w:after="50" w:afterLines="50"/>
      <w:ind w:firstLineChars="0"/>
      <w:outlineLvl w:val="1"/>
    </w:pPr>
    <w:rPr>
      <w:b/>
      <w:szCs w:val="20"/>
    </w:rPr>
  </w:style>
  <w:style w:type="paragraph" w:styleId="4">
    <w:name w:val="heading 3"/>
    <w:basedOn w:val="3"/>
    <w:next w:val="1"/>
    <w:link w:val="52"/>
    <w:qFormat/>
    <w:uiPriority w:val="0"/>
    <w:pPr>
      <w:outlineLvl w:val="2"/>
    </w:pPr>
    <w:rPr>
      <w:b w:val="0"/>
      <w:bCs/>
      <w:szCs w:val="32"/>
    </w:rPr>
  </w:style>
  <w:style w:type="paragraph" w:styleId="5">
    <w:name w:val="heading 4"/>
    <w:basedOn w:val="1"/>
    <w:next w:val="1"/>
    <w:link w:val="53"/>
    <w:qFormat/>
    <w:uiPriority w:val="0"/>
    <w:pPr>
      <w:keepNext/>
      <w:spacing w:line="360" w:lineRule="auto"/>
      <w:outlineLvl w:val="3"/>
    </w:pPr>
    <w:rPr>
      <w:b/>
      <w:bCs/>
      <w:sz w:val="20"/>
    </w:rPr>
  </w:style>
  <w:style w:type="paragraph" w:styleId="6">
    <w:name w:val="heading 5"/>
    <w:basedOn w:val="1"/>
    <w:next w:val="1"/>
    <w:link w:val="54"/>
    <w:qFormat/>
    <w:uiPriority w:val="0"/>
    <w:pPr>
      <w:keepNext/>
      <w:outlineLvl w:val="4"/>
    </w:pPr>
    <w:rPr>
      <w:b/>
      <w:bCs/>
      <w:sz w:val="24"/>
    </w:rPr>
  </w:style>
  <w:style w:type="paragraph" w:styleId="7">
    <w:name w:val="heading 6"/>
    <w:basedOn w:val="1"/>
    <w:next w:val="1"/>
    <w:link w:val="55"/>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link w:val="56"/>
    <w:qFormat/>
    <w:uiPriority w:val="0"/>
    <w:pPr>
      <w:keepNext/>
      <w:keepLines/>
      <w:spacing w:before="240" w:after="64" w:line="320" w:lineRule="auto"/>
      <w:outlineLvl w:val="6"/>
    </w:pPr>
    <w:rPr>
      <w:b/>
      <w:bCs/>
      <w:sz w:val="24"/>
    </w:rPr>
  </w:style>
  <w:style w:type="paragraph" w:styleId="9">
    <w:name w:val="heading 8"/>
    <w:basedOn w:val="1"/>
    <w:next w:val="1"/>
    <w:link w:val="57"/>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link w:val="58"/>
    <w:qFormat/>
    <w:uiPriority w:val="0"/>
    <w:pPr>
      <w:keepNext/>
      <w:keepLines/>
      <w:spacing w:before="240" w:after="64" w:line="320" w:lineRule="auto"/>
      <w:outlineLvl w:val="8"/>
    </w:pPr>
    <w:rPr>
      <w:rFonts w:ascii="Arial" w:hAnsi="Arial" w:eastAsia="黑体"/>
      <w:szCs w:val="21"/>
    </w:rPr>
  </w:style>
  <w:style w:type="character" w:default="1" w:styleId="42">
    <w:name w:val="Default Paragraph Font"/>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List 3"/>
    <w:basedOn w:val="1"/>
    <w:qFormat/>
    <w:uiPriority w:val="0"/>
    <w:pPr>
      <w:ind w:left="100" w:leftChars="400" w:hanging="200" w:hangingChars="200"/>
    </w:pPr>
  </w:style>
  <w:style w:type="paragraph" w:styleId="12">
    <w:name w:val="caption"/>
    <w:basedOn w:val="1"/>
    <w:next w:val="1"/>
    <w:qFormat/>
    <w:uiPriority w:val="0"/>
    <w:rPr>
      <w:rFonts w:ascii="Arial" w:hAnsi="Arial" w:eastAsia="黑体" w:cs="Arial"/>
      <w:sz w:val="20"/>
      <w:szCs w:val="20"/>
    </w:rPr>
  </w:style>
  <w:style w:type="paragraph" w:styleId="13">
    <w:name w:val="List Bullet"/>
    <w:basedOn w:val="1"/>
    <w:qFormat/>
    <w:uiPriority w:val="0"/>
    <w:pPr>
      <w:tabs>
        <w:tab w:val="left" w:pos="360"/>
      </w:tabs>
      <w:ind w:left="360" w:hanging="200" w:hangingChars="200"/>
    </w:pPr>
  </w:style>
  <w:style w:type="paragraph" w:styleId="14">
    <w:name w:val="Document Map"/>
    <w:basedOn w:val="1"/>
    <w:link w:val="59"/>
    <w:unhideWhenUsed/>
    <w:qFormat/>
    <w:uiPriority w:val="0"/>
    <w:rPr>
      <w:rFonts w:ascii="宋体" w:hAnsi="Calibri"/>
      <w:sz w:val="18"/>
      <w:szCs w:val="18"/>
    </w:rPr>
  </w:style>
  <w:style w:type="paragraph" w:styleId="15">
    <w:name w:val="annotation text"/>
    <w:basedOn w:val="1"/>
    <w:semiHidden/>
    <w:qFormat/>
    <w:uiPriority w:val="0"/>
  </w:style>
  <w:style w:type="paragraph" w:styleId="16">
    <w:name w:val="Body Text"/>
    <w:basedOn w:val="1"/>
    <w:link w:val="60"/>
    <w:qFormat/>
    <w:uiPriority w:val="0"/>
    <w:pPr>
      <w:spacing w:after="120"/>
    </w:pPr>
  </w:style>
  <w:style w:type="paragraph" w:styleId="17">
    <w:name w:val="Body Text Indent"/>
    <w:basedOn w:val="1"/>
    <w:link w:val="61"/>
    <w:qFormat/>
    <w:uiPriority w:val="0"/>
    <w:pPr>
      <w:spacing w:line="240" w:lineRule="exact"/>
      <w:ind w:firstLine="340" w:firstLineChars="0"/>
    </w:pPr>
    <w:rPr>
      <w:sz w:val="18"/>
      <w:szCs w:val="20"/>
    </w:rPr>
  </w:style>
  <w:style w:type="paragraph" w:styleId="18">
    <w:name w:val="List 2"/>
    <w:basedOn w:val="1"/>
    <w:qFormat/>
    <w:uiPriority w:val="0"/>
    <w:pPr>
      <w:ind w:left="100" w:leftChars="200" w:hanging="200" w:hangingChars="200"/>
    </w:pPr>
  </w:style>
  <w:style w:type="paragraph" w:styleId="19">
    <w:name w:val="List Continue"/>
    <w:basedOn w:val="1"/>
    <w:qFormat/>
    <w:uiPriority w:val="0"/>
    <w:pPr>
      <w:spacing w:after="120"/>
      <w:ind w:left="420" w:leftChars="200"/>
    </w:pPr>
  </w:style>
  <w:style w:type="paragraph" w:styleId="20">
    <w:name w:val="Block Text"/>
    <w:basedOn w:val="1"/>
    <w:qFormat/>
    <w:uiPriority w:val="0"/>
    <w:pPr>
      <w:ind w:left="315" w:right="-506" w:rightChars="-241" w:firstLine="584" w:firstLineChars="278"/>
    </w:pPr>
  </w:style>
  <w:style w:type="paragraph" w:styleId="21">
    <w:name w:val="List Bullet 2"/>
    <w:basedOn w:val="1"/>
    <w:qFormat/>
    <w:uiPriority w:val="0"/>
    <w:pPr>
      <w:tabs>
        <w:tab w:val="left" w:pos="780"/>
      </w:tabs>
      <w:ind w:left="200" w:leftChars="200" w:hanging="200" w:hangingChars="200"/>
    </w:pPr>
  </w:style>
  <w:style w:type="paragraph" w:styleId="22">
    <w:name w:val="Date"/>
    <w:basedOn w:val="1"/>
    <w:next w:val="1"/>
    <w:link w:val="62"/>
    <w:qFormat/>
    <w:uiPriority w:val="0"/>
    <w:pPr>
      <w:ind w:left="100" w:leftChars="2500"/>
    </w:pPr>
    <w:rPr>
      <w:sz w:val="28"/>
    </w:rPr>
  </w:style>
  <w:style w:type="paragraph" w:styleId="23">
    <w:name w:val="Body Text Indent 2"/>
    <w:basedOn w:val="1"/>
    <w:link w:val="63"/>
    <w:qFormat/>
    <w:uiPriority w:val="0"/>
    <w:pPr>
      <w:spacing w:line="360" w:lineRule="auto"/>
      <w:ind w:firstLine="422"/>
    </w:pPr>
    <w:rPr>
      <w:b/>
      <w:bCs/>
    </w:rPr>
  </w:style>
  <w:style w:type="paragraph" w:styleId="24">
    <w:name w:val="endnote text"/>
    <w:basedOn w:val="1"/>
    <w:link w:val="64"/>
    <w:unhideWhenUsed/>
    <w:qFormat/>
    <w:uiPriority w:val="0"/>
    <w:pPr>
      <w:snapToGrid w:val="0"/>
    </w:pPr>
    <w:rPr>
      <w:rFonts w:ascii="Calibri" w:hAnsi="Calibri"/>
      <w:szCs w:val="22"/>
    </w:rPr>
  </w:style>
  <w:style w:type="paragraph" w:styleId="25">
    <w:name w:val="Balloon Text"/>
    <w:basedOn w:val="1"/>
    <w:link w:val="65"/>
    <w:unhideWhenUsed/>
    <w:qFormat/>
    <w:uiPriority w:val="0"/>
    <w:rPr>
      <w:rFonts w:ascii="Calibri" w:hAnsi="Calibri"/>
      <w:sz w:val="18"/>
      <w:szCs w:val="18"/>
    </w:rPr>
  </w:style>
  <w:style w:type="paragraph" w:styleId="26">
    <w:name w:val="footer"/>
    <w:basedOn w:val="1"/>
    <w:link w:val="66"/>
    <w:qFormat/>
    <w:uiPriority w:val="0"/>
    <w:pPr>
      <w:tabs>
        <w:tab w:val="center" w:pos="4153"/>
        <w:tab w:val="right" w:pos="8306"/>
      </w:tabs>
      <w:snapToGrid w:val="0"/>
    </w:pPr>
    <w:rPr>
      <w:sz w:val="18"/>
      <w:szCs w:val="18"/>
    </w:rPr>
  </w:style>
  <w:style w:type="paragraph" w:styleId="27">
    <w:name w:val="header"/>
    <w:basedOn w:val="1"/>
    <w:link w:val="67"/>
    <w:qFormat/>
    <w:uiPriority w:val="0"/>
    <w:pPr>
      <w:pBdr>
        <w:bottom w:val="single" w:color="auto" w:sz="6" w:space="1"/>
      </w:pBdr>
      <w:tabs>
        <w:tab w:val="center" w:pos="4153"/>
        <w:tab w:val="right" w:pos="8306"/>
      </w:tabs>
      <w:snapToGrid w:val="0"/>
      <w:jc w:val="center"/>
    </w:pPr>
    <w:rPr>
      <w:sz w:val="18"/>
      <w:szCs w:val="18"/>
    </w:rPr>
  </w:style>
  <w:style w:type="paragraph" w:styleId="28">
    <w:name w:val="Subtitle"/>
    <w:basedOn w:val="1"/>
    <w:link w:val="68"/>
    <w:qFormat/>
    <w:uiPriority w:val="0"/>
    <w:pPr>
      <w:spacing w:before="240" w:after="60" w:line="312" w:lineRule="auto"/>
      <w:jc w:val="center"/>
      <w:outlineLvl w:val="1"/>
    </w:pPr>
    <w:rPr>
      <w:rFonts w:ascii="Arial" w:hAnsi="Arial" w:cs="Arial"/>
      <w:b/>
      <w:bCs/>
      <w:kern w:val="28"/>
      <w:sz w:val="32"/>
      <w:szCs w:val="32"/>
    </w:rPr>
  </w:style>
  <w:style w:type="paragraph" w:styleId="29">
    <w:name w:val="List"/>
    <w:basedOn w:val="1"/>
    <w:qFormat/>
    <w:uiPriority w:val="0"/>
    <w:pPr>
      <w:ind w:left="200" w:hanging="200" w:hangingChars="200"/>
    </w:pPr>
  </w:style>
  <w:style w:type="paragraph" w:styleId="30">
    <w:name w:val="footnote text"/>
    <w:basedOn w:val="1"/>
    <w:link w:val="69"/>
    <w:unhideWhenUsed/>
    <w:qFormat/>
    <w:uiPriority w:val="0"/>
    <w:pPr>
      <w:snapToGrid w:val="0"/>
    </w:pPr>
    <w:rPr>
      <w:rFonts w:ascii="Calibri" w:hAnsi="Calibri"/>
      <w:sz w:val="18"/>
      <w:szCs w:val="18"/>
    </w:rPr>
  </w:style>
  <w:style w:type="paragraph" w:styleId="31">
    <w:name w:val="List 5"/>
    <w:basedOn w:val="1"/>
    <w:qFormat/>
    <w:uiPriority w:val="0"/>
    <w:pPr>
      <w:ind w:left="100" w:leftChars="800" w:hanging="200" w:hangingChars="200"/>
    </w:pPr>
  </w:style>
  <w:style w:type="paragraph" w:styleId="32">
    <w:name w:val="Body Text Indent 3"/>
    <w:basedOn w:val="1"/>
    <w:qFormat/>
    <w:uiPriority w:val="0"/>
    <w:pPr>
      <w:spacing w:after="120"/>
      <w:ind w:left="420" w:leftChars="200"/>
    </w:pPr>
    <w:rPr>
      <w:sz w:val="16"/>
      <w:szCs w:val="16"/>
    </w:rPr>
  </w:style>
  <w:style w:type="paragraph" w:styleId="33">
    <w:name w:val="Body Text 2"/>
    <w:basedOn w:val="1"/>
    <w:link w:val="70"/>
    <w:qFormat/>
    <w:uiPriority w:val="0"/>
    <w:pPr>
      <w:spacing w:line="360" w:lineRule="auto"/>
    </w:pPr>
    <w:rPr>
      <w:b/>
      <w:sz w:val="24"/>
      <w:szCs w:val="20"/>
    </w:rPr>
  </w:style>
  <w:style w:type="paragraph" w:styleId="34">
    <w:name w:val="List 4"/>
    <w:basedOn w:val="1"/>
    <w:qFormat/>
    <w:uiPriority w:val="0"/>
    <w:pPr>
      <w:ind w:left="100" w:leftChars="600" w:hanging="200" w:hangingChars="200"/>
    </w:pPr>
  </w:style>
  <w:style w:type="paragraph" w:styleId="35">
    <w:name w:val="Normal (Web)"/>
    <w:basedOn w:val="1"/>
    <w:qFormat/>
    <w:uiPriority w:val="0"/>
    <w:pPr>
      <w:widowControl/>
      <w:spacing w:before="100" w:beforeAutospacing="1" w:after="100" w:afterAutospacing="1"/>
    </w:pPr>
    <w:rPr>
      <w:rFonts w:ascii="宋体" w:hAnsi="宋体" w:cs="宋体"/>
      <w:kern w:val="0"/>
      <w:sz w:val="24"/>
    </w:rPr>
  </w:style>
  <w:style w:type="paragraph" w:styleId="36">
    <w:name w:val="Title"/>
    <w:basedOn w:val="1"/>
    <w:link w:val="71"/>
    <w:qFormat/>
    <w:uiPriority w:val="0"/>
    <w:pPr>
      <w:jc w:val="center"/>
    </w:pPr>
    <w:rPr>
      <w:sz w:val="28"/>
    </w:rPr>
  </w:style>
  <w:style w:type="paragraph" w:styleId="37">
    <w:name w:val="annotation subject"/>
    <w:basedOn w:val="15"/>
    <w:next w:val="15"/>
    <w:semiHidden/>
    <w:qFormat/>
    <w:uiPriority w:val="0"/>
    <w:rPr>
      <w:b/>
      <w:bCs/>
    </w:rPr>
  </w:style>
  <w:style w:type="paragraph" w:styleId="38">
    <w:name w:val="Body Text First Indent"/>
    <w:basedOn w:val="16"/>
    <w:qFormat/>
    <w:uiPriority w:val="0"/>
    <w:pPr>
      <w:ind w:firstLine="420" w:firstLineChars="100"/>
    </w:pPr>
  </w:style>
  <w:style w:type="paragraph" w:styleId="39">
    <w:name w:val="Body Text First Indent 2"/>
    <w:basedOn w:val="17"/>
    <w:qFormat/>
    <w:uiPriority w:val="0"/>
    <w:pPr>
      <w:spacing w:after="120"/>
      <w:ind w:left="420" w:leftChars="200" w:firstLine="200"/>
    </w:pPr>
    <w:rPr>
      <w:sz w:val="21"/>
      <w:szCs w:val="24"/>
    </w:rPr>
  </w:style>
  <w:style w:type="table" w:styleId="41">
    <w:name w:val="Table Grid"/>
    <w:basedOn w:val="4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qFormat/>
    <w:uiPriority w:val="0"/>
    <w:rPr>
      <w:rFonts w:cs="Times New Roman"/>
      <w:b/>
      <w:bCs/>
    </w:rPr>
  </w:style>
  <w:style w:type="character" w:styleId="44">
    <w:name w:val="endnote reference"/>
    <w:semiHidden/>
    <w:qFormat/>
    <w:uiPriority w:val="0"/>
    <w:rPr>
      <w:vertAlign w:val="superscript"/>
    </w:rPr>
  </w:style>
  <w:style w:type="character" w:styleId="45">
    <w:name w:val="page number"/>
    <w:qFormat/>
    <w:uiPriority w:val="0"/>
  </w:style>
  <w:style w:type="character" w:styleId="46">
    <w:name w:val="Emphasis"/>
    <w:qFormat/>
    <w:uiPriority w:val="0"/>
    <w:rPr>
      <w:rFonts w:cs="Times New Roman"/>
      <w:i/>
      <w:iCs/>
    </w:rPr>
  </w:style>
  <w:style w:type="character" w:styleId="47">
    <w:name w:val="Hyperlink"/>
    <w:qFormat/>
    <w:uiPriority w:val="0"/>
    <w:rPr>
      <w:color w:val="0000FF"/>
      <w:u w:val="single"/>
    </w:rPr>
  </w:style>
  <w:style w:type="character" w:styleId="48">
    <w:name w:val="HTML Code"/>
    <w:basedOn w:val="42"/>
    <w:qFormat/>
    <w:uiPriority w:val="0"/>
    <w:rPr>
      <w:rFonts w:ascii="Courier New" w:hAnsi="Courier New"/>
      <w:sz w:val="20"/>
    </w:rPr>
  </w:style>
  <w:style w:type="character" w:styleId="49">
    <w:name w:val="footnote reference"/>
    <w:unhideWhenUsed/>
    <w:qFormat/>
    <w:uiPriority w:val="0"/>
    <w:rPr>
      <w:vertAlign w:val="superscript"/>
    </w:rPr>
  </w:style>
  <w:style w:type="character" w:customStyle="1" w:styleId="50">
    <w:name w:val="标题 1 字符"/>
    <w:link w:val="2"/>
    <w:qFormat/>
    <w:uiPriority w:val="0"/>
    <w:rPr>
      <w:rFonts w:eastAsia="宋体"/>
      <w:b/>
      <w:kern w:val="44"/>
      <w:sz w:val="28"/>
    </w:rPr>
  </w:style>
  <w:style w:type="character" w:customStyle="1" w:styleId="51">
    <w:name w:val="标题 2 字符"/>
    <w:link w:val="3"/>
    <w:qFormat/>
    <w:uiPriority w:val="0"/>
    <w:rPr>
      <w:rFonts w:eastAsia="宋体"/>
      <w:b/>
      <w:kern w:val="2"/>
      <w:sz w:val="21"/>
    </w:rPr>
  </w:style>
  <w:style w:type="character" w:customStyle="1" w:styleId="52">
    <w:name w:val="标题 3 字符"/>
    <w:link w:val="4"/>
    <w:qFormat/>
    <w:uiPriority w:val="0"/>
    <w:rPr>
      <w:rFonts w:eastAsia="宋体"/>
      <w:bCs/>
      <w:kern w:val="2"/>
      <w:sz w:val="21"/>
      <w:szCs w:val="32"/>
      <w:lang w:val="en-US" w:eastAsia="zh-CN" w:bidi="ar-SA"/>
    </w:rPr>
  </w:style>
  <w:style w:type="character" w:customStyle="1" w:styleId="53">
    <w:name w:val="标题 4 字符"/>
    <w:link w:val="5"/>
    <w:qFormat/>
    <w:uiPriority w:val="0"/>
    <w:rPr>
      <w:rFonts w:eastAsia="宋体"/>
      <w:b/>
      <w:bCs/>
      <w:kern w:val="2"/>
      <w:szCs w:val="24"/>
      <w:lang w:val="en-US" w:eastAsia="zh-CN" w:bidi="ar-SA"/>
    </w:rPr>
  </w:style>
  <w:style w:type="character" w:customStyle="1" w:styleId="54">
    <w:name w:val="标题 5 字符"/>
    <w:link w:val="6"/>
    <w:qFormat/>
    <w:uiPriority w:val="0"/>
    <w:rPr>
      <w:rFonts w:eastAsia="宋体"/>
      <w:b/>
      <w:bCs/>
      <w:kern w:val="2"/>
      <w:sz w:val="24"/>
      <w:szCs w:val="24"/>
      <w:lang w:val="en-US" w:eastAsia="zh-CN" w:bidi="ar-SA"/>
    </w:rPr>
  </w:style>
  <w:style w:type="character" w:customStyle="1" w:styleId="55">
    <w:name w:val="标题 6 字符"/>
    <w:link w:val="7"/>
    <w:qFormat/>
    <w:uiPriority w:val="0"/>
    <w:rPr>
      <w:rFonts w:ascii="Arial" w:hAnsi="Arial" w:eastAsia="黑体"/>
      <w:b/>
      <w:bCs/>
      <w:kern w:val="2"/>
      <w:sz w:val="24"/>
      <w:szCs w:val="24"/>
      <w:lang w:val="en-US" w:eastAsia="zh-CN" w:bidi="ar-SA"/>
    </w:rPr>
  </w:style>
  <w:style w:type="character" w:customStyle="1" w:styleId="56">
    <w:name w:val="标题 7 字符"/>
    <w:link w:val="8"/>
    <w:qFormat/>
    <w:uiPriority w:val="0"/>
    <w:rPr>
      <w:rFonts w:eastAsia="宋体"/>
      <w:b/>
      <w:bCs/>
      <w:kern w:val="2"/>
      <w:sz w:val="24"/>
      <w:szCs w:val="24"/>
      <w:lang w:val="en-US" w:eastAsia="zh-CN" w:bidi="ar-SA"/>
    </w:rPr>
  </w:style>
  <w:style w:type="character" w:customStyle="1" w:styleId="57">
    <w:name w:val="标题 8 字符"/>
    <w:link w:val="9"/>
    <w:qFormat/>
    <w:uiPriority w:val="0"/>
    <w:rPr>
      <w:rFonts w:ascii="Arial" w:hAnsi="Arial" w:eastAsia="黑体"/>
      <w:kern w:val="2"/>
      <w:sz w:val="24"/>
      <w:szCs w:val="24"/>
      <w:lang w:val="en-US" w:eastAsia="zh-CN" w:bidi="ar-SA"/>
    </w:rPr>
  </w:style>
  <w:style w:type="character" w:customStyle="1" w:styleId="58">
    <w:name w:val="标题 9 字符"/>
    <w:link w:val="10"/>
    <w:qFormat/>
    <w:uiPriority w:val="0"/>
    <w:rPr>
      <w:rFonts w:ascii="Arial" w:hAnsi="Arial" w:eastAsia="黑体"/>
      <w:kern w:val="2"/>
      <w:sz w:val="21"/>
      <w:szCs w:val="21"/>
      <w:lang w:val="en-US" w:eastAsia="zh-CN" w:bidi="ar-SA"/>
    </w:rPr>
  </w:style>
  <w:style w:type="character" w:customStyle="1" w:styleId="59">
    <w:name w:val="文档结构图 字符"/>
    <w:link w:val="14"/>
    <w:semiHidden/>
    <w:qFormat/>
    <w:uiPriority w:val="0"/>
    <w:rPr>
      <w:rFonts w:ascii="宋体" w:hAnsi="Calibri" w:eastAsia="宋体"/>
      <w:kern w:val="2"/>
      <w:sz w:val="18"/>
      <w:szCs w:val="18"/>
      <w:lang w:val="en-US" w:eastAsia="zh-CN" w:bidi="ar-SA"/>
    </w:rPr>
  </w:style>
  <w:style w:type="character" w:customStyle="1" w:styleId="60">
    <w:name w:val="正文文本 字符"/>
    <w:link w:val="16"/>
    <w:qFormat/>
    <w:uiPriority w:val="0"/>
    <w:rPr>
      <w:rFonts w:eastAsia="宋体"/>
      <w:kern w:val="2"/>
      <w:sz w:val="21"/>
      <w:szCs w:val="24"/>
      <w:lang w:val="en-US" w:eastAsia="zh-CN" w:bidi="ar-SA"/>
    </w:rPr>
  </w:style>
  <w:style w:type="character" w:customStyle="1" w:styleId="61">
    <w:name w:val="正文文本缩进 字符"/>
    <w:link w:val="17"/>
    <w:qFormat/>
    <w:uiPriority w:val="0"/>
    <w:rPr>
      <w:rFonts w:eastAsia="宋体"/>
      <w:kern w:val="2"/>
      <w:sz w:val="18"/>
      <w:lang w:val="en-US" w:eastAsia="zh-CN" w:bidi="ar-SA"/>
    </w:rPr>
  </w:style>
  <w:style w:type="character" w:customStyle="1" w:styleId="62">
    <w:name w:val="日期 字符"/>
    <w:link w:val="22"/>
    <w:qFormat/>
    <w:uiPriority w:val="0"/>
    <w:rPr>
      <w:rFonts w:eastAsia="宋体"/>
      <w:kern w:val="2"/>
      <w:sz w:val="28"/>
      <w:szCs w:val="24"/>
      <w:lang w:val="en-US" w:eastAsia="zh-CN" w:bidi="ar-SA"/>
    </w:rPr>
  </w:style>
  <w:style w:type="character" w:customStyle="1" w:styleId="63">
    <w:name w:val="正文文本缩进 2 字符"/>
    <w:link w:val="23"/>
    <w:qFormat/>
    <w:uiPriority w:val="0"/>
    <w:rPr>
      <w:rFonts w:eastAsia="宋体"/>
      <w:b/>
      <w:bCs/>
      <w:kern w:val="2"/>
      <w:sz w:val="21"/>
      <w:szCs w:val="24"/>
      <w:lang w:val="en-US" w:eastAsia="zh-CN" w:bidi="ar-SA"/>
    </w:rPr>
  </w:style>
  <w:style w:type="character" w:customStyle="1" w:styleId="64">
    <w:name w:val="尾注文本 字符"/>
    <w:link w:val="24"/>
    <w:semiHidden/>
    <w:qFormat/>
    <w:uiPriority w:val="0"/>
    <w:rPr>
      <w:rFonts w:ascii="Calibri" w:hAnsi="Calibri" w:eastAsia="宋体"/>
      <w:kern w:val="2"/>
      <w:sz w:val="21"/>
      <w:szCs w:val="22"/>
      <w:lang w:val="en-US" w:eastAsia="zh-CN" w:bidi="ar-SA"/>
    </w:rPr>
  </w:style>
  <w:style w:type="character" w:customStyle="1" w:styleId="65">
    <w:name w:val="批注框文本 字符"/>
    <w:link w:val="25"/>
    <w:semiHidden/>
    <w:qFormat/>
    <w:uiPriority w:val="0"/>
    <w:rPr>
      <w:rFonts w:ascii="Calibri" w:hAnsi="Calibri" w:eastAsia="宋体"/>
      <w:kern w:val="2"/>
      <w:sz w:val="18"/>
      <w:szCs w:val="18"/>
      <w:lang w:val="en-US" w:eastAsia="zh-CN" w:bidi="ar-SA"/>
    </w:rPr>
  </w:style>
  <w:style w:type="character" w:customStyle="1" w:styleId="66">
    <w:name w:val="页脚 字符"/>
    <w:link w:val="26"/>
    <w:semiHidden/>
    <w:qFormat/>
    <w:uiPriority w:val="0"/>
    <w:rPr>
      <w:rFonts w:eastAsia="宋体"/>
      <w:kern w:val="2"/>
      <w:sz w:val="18"/>
      <w:szCs w:val="18"/>
      <w:lang w:val="en-US" w:eastAsia="zh-CN" w:bidi="ar-SA"/>
    </w:rPr>
  </w:style>
  <w:style w:type="character" w:customStyle="1" w:styleId="67">
    <w:name w:val="页眉 字符"/>
    <w:link w:val="27"/>
    <w:qFormat/>
    <w:uiPriority w:val="0"/>
    <w:rPr>
      <w:rFonts w:eastAsia="宋体"/>
      <w:kern w:val="2"/>
      <w:sz w:val="18"/>
      <w:szCs w:val="18"/>
      <w:lang w:val="en-US" w:eastAsia="zh-CN" w:bidi="ar-SA"/>
    </w:rPr>
  </w:style>
  <w:style w:type="character" w:customStyle="1" w:styleId="68">
    <w:name w:val="副标题 字符"/>
    <w:link w:val="28"/>
    <w:qFormat/>
    <w:uiPriority w:val="0"/>
    <w:rPr>
      <w:rFonts w:ascii="Arial" w:hAnsi="Arial" w:eastAsia="宋体" w:cs="Arial"/>
      <w:b/>
      <w:bCs/>
      <w:kern w:val="28"/>
      <w:sz w:val="32"/>
      <w:szCs w:val="32"/>
      <w:lang w:val="en-US" w:eastAsia="zh-CN" w:bidi="ar-SA"/>
    </w:rPr>
  </w:style>
  <w:style w:type="character" w:customStyle="1" w:styleId="69">
    <w:name w:val="脚注文本 字符"/>
    <w:link w:val="30"/>
    <w:qFormat/>
    <w:uiPriority w:val="0"/>
    <w:rPr>
      <w:rFonts w:ascii="Calibri" w:hAnsi="Calibri" w:eastAsia="宋体"/>
      <w:kern w:val="2"/>
      <w:sz w:val="18"/>
      <w:szCs w:val="18"/>
      <w:lang w:val="en-US" w:eastAsia="zh-CN" w:bidi="ar-SA"/>
    </w:rPr>
  </w:style>
  <w:style w:type="character" w:customStyle="1" w:styleId="70">
    <w:name w:val="正文文本 2 字符"/>
    <w:link w:val="33"/>
    <w:qFormat/>
    <w:uiPriority w:val="0"/>
    <w:rPr>
      <w:rFonts w:eastAsia="宋体"/>
      <w:b/>
      <w:kern w:val="2"/>
      <w:sz w:val="24"/>
      <w:lang w:val="en-US" w:eastAsia="zh-CN" w:bidi="ar-SA"/>
    </w:rPr>
  </w:style>
  <w:style w:type="character" w:customStyle="1" w:styleId="71">
    <w:name w:val="标题 字符"/>
    <w:link w:val="36"/>
    <w:qFormat/>
    <w:uiPriority w:val="0"/>
    <w:rPr>
      <w:rFonts w:eastAsia="宋体"/>
      <w:kern w:val="2"/>
      <w:sz w:val="28"/>
      <w:szCs w:val="24"/>
      <w:lang w:val="en-US" w:eastAsia="zh-CN" w:bidi="ar-SA"/>
    </w:rPr>
  </w:style>
  <w:style w:type="character" w:customStyle="1" w:styleId="72">
    <w:name w:val="webdict1"/>
    <w:qFormat/>
    <w:uiPriority w:val="0"/>
    <w:rPr>
      <w:b/>
      <w:bCs/>
    </w:rPr>
  </w:style>
  <w:style w:type="character" w:customStyle="1" w:styleId="73">
    <w:name w:val="datatitle1"/>
    <w:qFormat/>
    <w:uiPriority w:val="0"/>
    <w:rPr>
      <w:b/>
      <w:color w:val="10619F"/>
      <w:sz w:val="16"/>
    </w:rPr>
  </w:style>
  <w:style w:type="character" w:customStyle="1" w:styleId="74">
    <w:name w:val="样式 样式 (西文) ˎ̥ + 首行缩进:  2 字符 Char"/>
    <w:link w:val="75"/>
    <w:qFormat/>
    <w:uiPriority w:val="0"/>
    <w:rPr>
      <w:rFonts w:ascii="ˎ̥" w:hAnsi="ˎ̥" w:eastAsia="宋体" w:cs="宋体"/>
      <w:kern w:val="2"/>
      <w:sz w:val="24"/>
      <w:lang w:val="en-US" w:eastAsia="zh-CN" w:bidi="ar-SA"/>
    </w:rPr>
  </w:style>
  <w:style w:type="paragraph" w:customStyle="1" w:styleId="75">
    <w:name w:val="样式 样式 (西文) ˎ̥ + 首行缩进:  2 字符"/>
    <w:basedOn w:val="1"/>
    <w:link w:val="74"/>
    <w:qFormat/>
    <w:uiPriority w:val="0"/>
    <w:pPr>
      <w:spacing w:line="360" w:lineRule="auto"/>
      <w:ind w:firstLine="420"/>
    </w:pPr>
    <w:rPr>
      <w:rFonts w:ascii="ˎ̥" w:hAnsi="ˎ̥" w:cs="宋体"/>
      <w:sz w:val="24"/>
      <w:szCs w:val="20"/>
    </w:rPr>
  </w:style>
  <w:style w:type="character" w:customStyle="1" w:styleId="76">
    <w:name w:val="figlegend Char"/>
    <w:link w:val="77"/>
    <w:qFormat/>
    <w:uiPriority w:val="0"/>
    <w:rPr>
      <w:rFonts w:eastAsia="宋体"/>
      <w:sz w:val="21"/>
      <w:lang w:val="en-US" w:eastAsia="zh-CN" w:bidi="ar-SA"/>
    </w:rPr>
  </w:style>
  <w:style w:type="paragraph" w:customStyle="1" w:styleId="77">
    <w:name w:val="figlegend"/>
    <w:basedOn w:val="1"/>
    <w:next w:val="1"/>
    <w:link w:val="76"/>
    <w:qFormat/>
    <w:uiPriority w:val="0"/>
    <w:pPr>
      <w:overflowPunct w:val="0"/>
      <w:autoSpaceDE w:val="0"/>
      <w:autoSpaceDN w:val="0"/>
      <w:adjustRightInd w:val="0"/>
      <w:ind w:firstLine="420"/>
      <w:textAlignment w:val="baseline"/>
    </w:pPr>
    <w:rPr>
      <w:kern w:val="0"/>
      <w:szCs w:val="20"/>
    </w:rPr>
  </w:style>
  <w:style w:type="character" w:customStyle="1" w:styleId="78">
    <w:name w:val="lijujieshi"/>
    <w:qFormat/>
    <w:uiPriority w:val="0"/>
  </w:style>
  <w:style w:type="character" w:customStyle="1" w:styleId="79">
    <w:name w:val="trans"/>
    <w:qFormat/>
    <w:uiPriority w:val="0"/>
  </w:style>
  <w:style w:type="character" w:customStyle="1" w:styleId="80">
    <w:name w:val="long_text1"/>
    <w:qFormat/>
    <w:uiPriority w:val="0"/>
    <w:rPr>
      <w:sz w:val="18"/>
      <w:szCs w:val="18"/>
    </w:rPr>
  </w:style>
  <w:style w:type="character" w:customStyle="1" w:styleId="81">
    <w:name w:val="页脚 Char"/>
    <w:qFormat/>
    <w:uiPriority w:val="0"/>
    <w:rPr>
      <w:sz w:val="18"/>
      <w:szCs w:val="18"/>
    </w:rPr>
  </w:style>
  <w:style w:type="character" w:customStyle="1" w:styleId="82">
    <w:name w:val="标题 1 Char"/>
    <w:qFormat/>
    <w:uiPriority w:val="0"/>
    <w:rPr>
      <w:rFonts w:ascii="Times New Roman" w:hAnsi="Times New Roman" w:eastAsia="宋体" w:cs="Times New Roman"/>
      <w:b/>
      <w:kern w:val="44"/>
      <w:sz w:val="28"/>
      <w:szCs w:val="20"/>
    </w:rPr>
  </w:style>
  <w:style w:type="character" w:customStyle="1" w:styleId="83">
    <w:name w:val="short_text1"/>
    <w:qFormat/>
    <w:uiPriority w:val="0"/>
    <w:rPr>
      <w:rFonts w:cs="Times New Roman"/>
      <w:sz w:val="29"/>
      <w:szCs w:val="29"/>
    </w:rPr>
  </w:style>
  <w:style w:type="character" w:customStyle="1" w:styleId="84">
    <w:name w:val="contact"/>
    <w:qFormat/>
    <w:uiPriority w:val="0"/>
    <w:rPr>
      <w:rFonts w:cs="Times New Roman"/>
    </w:rPr>
  </w:style>
  <w:style w:type="character" w:customStyle="1" w:styleId="85">
    <w:name w:val="javascript"/>
    <w:qFormat/>
    <w:uiPriority w:val="0"/>
    <w:rPr>
      <w:rFonts w:cs="Times New Roman"/>
    </w:rPr>
  </w:style>
  <w:style w:type="character" w:customStyle="1" w:styleId="86">
    <w:name w:val="author1"/>
    <w:qFormat/>
    <w:uiPriority w:val="0"/>
    <w:rPr>
      <w:rFonts w:ascii="Georgia" w:hAnsi="Georgia" w:cs="Times New Roman"/>
      <w:b/>
      <w:bCs/>
      <w:sz w:val="21"/>
      <w:szCs w:val="21"/>
    </w:rPr>
  </w:style>
  <w:style w:type="character" w:customStyle="1" w:styleId="87">
    <w:name w:val="Style Justified Line spacing:  1.5 lines Char"/>
    <w:qFormat/>
    <w:uiPriority w:val="0"/>
    <w:rPr>
      <w:rFonts w:eastAsia="宋体" w:cs="Times New Roman"/>
      <w:b/>
      <w:sz w:val="28"/>
      <w:szCs w:val="28"/>
      <w:lang w:val="en-GB" w:eastAsia="en-GB" w:bidi="ar-SA"/>
    </w:rPr>
  </w:style>
  <w:style w:type="character" w:customStyle="1" w:styleId="88">
    <w:name w:val="ti2"/>
    <w:qFormat/>
    <w:uiPriority w:val="0"/>
    <w:rPr>
      <w:rFonts w:cs="Times New Roman"/>
      <w:sz w:val="22"/>
      <w:szCs w:val="22"/>
    </w:rPr>
  </w:style>
  <w:style w:type="character" w:customStyle="1" w:styleId="89">
    <w:name w:val="long_text"/>
    <w:qFormat/>
    <w:uiPriority w:val="0"/>
  </w:style>
  <w:style w:type="character" w:customStyle="1" w:styleId="90">
    <w:name w:val="neirong"/>
    <w:qFormat/>
    <w:uiPriority w:val="0"/>
  </w:style>
  <w:style w:type="paragraph" w:customStyle="1" w:styleId="91">
    <w:name w:val="样式 首行缩进:  2 字符"/>
    <w:basedOn w:val="1"/>
    <w:qFormat/>
    <w:uiPriority w:val="0"/>
    <w:pPr>
      <w:spacing w:line="390" w:lineRule="exact"/>
      <w:ind w:firstLine="200"/>
    </w:pPr>
    <w:rPr>
      <w:rFonts w:cs="宋体"/>
      <w:szCs w:val="20"/>
    </w:rPr>
  </w:style>
  <w:style w:type="paragraph" w:styleId="92">
    <w:name w:val="List Paragraph"/>
    <w:basedOn w:val="1"/>
    <w:qFormat/>
    <w:uiPriority w:val="0"/>
    <w:pPr>
      <w:ind w:firstLine="420"/>
    </w:pPr>
    <w:rPr>
      <w:rFonts w:ascii="Calibri" w:hAnsi="Calibri"/>
      <w:szCs w:val="22"/>
    </w:rPr>
  </w:style>
  <w:style w:type="paragraph" w:customStyle="1" w:styleId="93">
    <w:name w:val="key words"/>
    <w:basedOn w:val="1"/>
    <w:next w:val="1"/>
    <w:qFormat/>
    <w:uiPriority w:val="0"/>
    <w:pPr>
      <w:numPr>
        <w:ilvl w:val="0"/>
        <w:numId w:val="2"/>
      </w:numPr>
      <w:spacing w:before="156" w:beforeLines="50" w:after="312" w:afterLines="100"/>
    </w:pPr>
    <w:rPr>
      <w:sz w:val="18"/>
    </w:rPr>
  </w:style>
  <w:style w:type="paragraph" w:customStyle="1" w:styleId="94">
    <w:name w:val="CAffiliation"/>
    <w:basedOn w:val="1"/>
    <w:next w:val="1"/>
    <w:qFormat/>
    <w:uiPriority w:val="0"/>
    <w:pPr>
      <w:spacing w:before="156" w:beforeLines="50" w:after="156" w:afterLines="50"/>
      <w:jc w:val="center"/>
    </w:pPr>
    <w:rPr>
      <w:rFonts w:ascii="宋体" w:hAnsi="宋体"/>
      <w:sz w:val="15"/>
    </w:rPr>
  </w:style>
  <w:style w:type="paragraph" w:customStyle="1" w:styleId="95">
    <w:name w:val="Author"/>
    <w:basedOn w:val="1"/>
    <w:next w:val="1"/>
    <w:qFormat/>
    <w:uiPriority w:val="0"/>
    <w:pPr>
      <w:jc w:val="center"/>
    </w:pPr>
    <w:rPr>
      <w:sz w:val="28"/>
    </w:rPr>
  </w:style>
  <w:style w:type="paragraph" w:customStyle="1" w:styleId="96">
    <w:name w:val="Abstract"/>
    <w:basedOn w:val="1"/>
    <w:next w:val="93"/>
    <w:qFormat/>
    <w:uiPriority w:val="0"/>
    <w:pPr>
      <w:numPr>
        <w:ilvl w:val="0"/>
        <w:numId w:val="3"/>
      </w:numPr>
      <w:spacing w:before="156" w:beforeLines="50" w:after="156" w:afterLines="50"/>
      <w:ind w:left="0" w:firstLine="0"/>
    </w:pPr>
    <w:rPr>
      <w:rFonts w:cs="Arial"/>
      <w:sz w:val="18"/>
    </w:rPr>
  </w:style>
  <w:style w:type="paragraph" w:customStyle="1" w:styleId="97">
    <w:name w:val="图片"/>
    <w:basedOn w:val="1"/>
    <w:qFormat/>
    <w:uiPriority w:val="0"/>
  </w:style>
  <w:style w:type="paragraph" w:customStyle="1" w:styleId="98">
    <w:name w:val="Reference"/>
    <w:basedOn w:val="1"/>
    <w:qFormat/>
    <w:uiPriority w:val="0"/>
    <w:pPr>
      <w:numPr>
        <w:ilvl w:val="0"/>
        <w:numId w:val="4"/>
      </w:numPr>
    </w:pPr>
    <w:rPr>
      <w:sz w:val="15"/>
    </w:rPr>
  </w:style>
  <w:style w:type="paragraph" w:customStyle="1" w:styleId="99">
    <w:name w:val="References"/>
    <w:basedOn w:val="1"/>
    <w:qFormat/>
    <w:uiPriority w:val="0"/>
    <w:pPr>
      <w:widowControl/>
      <w:numPr>
        <w:ilvl w:val="0"/>
        <w:numId w:val="5"/>
      </w:numPr>
    </w:pPr>
    <w:rPr>
      <w:rFonts w:eastAsia="Batang"/>
      <w:kern w:val="0"/>
      <w:sz w:val="16"/>
      <w:szCs w:val="16"/>
      <w:lang w:eastAsia="en-US"/>
    </w:rPr>
  </w:style>
  <w:style w:type="paragraph" w:customStyle="1" w:styleId="100">
    <w:name w:val="Char"/>
    <w:basedOn w:val="1"/>
    <w:qFormat/>
    <w:uiPriority w:val="0"/>
    <w:pPr>
      <w:widowControl/>
      <w:spacing w:after="160" w:line="240" w:lineRule="exact"/>
    </w:pPr>
    <w:rPr>
      <w:rFonts w:ascii="Verdana" w:hAnsi="Verdana" w:eastAsia="仿宋_GB2312"/>
      <w:kern w:val="0"/>
      <w:sz w:val="24"/>
      <w:szCs w:val="20"/>
      <w:lang w:eastAsia="en-US"/>
    </w:rPr>
  </w:style>
  <w:style w:type="paragraph" w:customStyle="1" w:styleId="101">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102">
    <w:name w:val="标题1"/>
    <w:basedOn w:val="1"/>
    <w:next w:val="1"/>
    <w:qFormat/>
    <w:uiPriority w:val="0"/>
    <w:pPr>
      <w:overflowPunct w:val="0"/>
      <w:autoSpaceDE w:val="0"/>
      <w:autoSpaceDN w:val="0"/>
      <w:adjustRightInd w:val="0"/>
      <w:spacing w:before="200" w:after="100"/>
      <w:textAlignment w:val="baseline"/>
      <w:outlineLvl w:val="0"/>
    </w:pPr>
    <w:rPr>
      <w:b/>
      <w:kern w:val="0"/>
      <w:sz w:val="28"/>
      <w:szCs w:val="20"/>
    </w:rPr>
  </w:style>
  <w:style w:type="paragraph" w:customStyle="1" w:styleId="103">
    <w:name w:val="作者行"/>
    <w:basedOn w:val="16"/>
    <w:qFormat/>
    <w:uiPriority w:val="0"/>
    <w:pPr>
      <w:spacing w:after="0" w:line="360" w:lineRule="auto"/>
    </w:pPr>
    <w:rPr>
      <w:b/>
      <w:bCs/>
    </w:rPr>
  </w:style>
  <w:style w:type="table" w:customStyle="1" w:styleId="104">
    <w:name w:val="样式1"/>
    <w:qFormat/>
    <w:uiPriority w:val="0"/>
    <w:rPr>
      <w:rFonts w:ascii="Calibri" w:hAnsi="Calibri"/>
    </w:rPr>
    <w:tblPr>
      <w:tblCellMar>
        <w:top w:w="0" w:type="dxa"/>
        <w:left w:w="108" w:type="dxa"/>
        <w:bottom w:w="0" w:type="dxa"/>
        <w:right w:w="108" w:type="dxa"/>
      </w:tblCellMar>
    </w:tblPr>
  </w:style>
  <w:style w:type="paragraph" w:customStyle="1" w:styleId="105">
    <w:name w:val="0表题"/>
    <w:basedOn w:val="1"/>
    <w:qFormat/>
    <w:uiPriority w:val="0"/>
    <w:pPr>
      <w:spacing w:before="50" w:beforeLines="50"/>
      <w:ind w:firstLine="0" w:firstLineChars="0"/>
      <w:jc w:val="center"/>
    </w:pPr>
    <w:rPr>
      <w:sz w:val="18"/>
    </w:rPr>
  </w:style>
  <w:style w:type="paragraph" w:customStyle="1" w:styleId="106">
    <w:name w:val="0图文字"/>
    <w:basedOn w:val="1"/>
    <w:qFormat/>
    <w:uiPriority w:val="0"/>
    <w:pPr>
      <w:spacing w:after="50" w:afterLines="50"/>
      <w:ind w:firstLine="0" w:firstLineChars="0"/>
      <w:jc w:val="center"/>
    </w:pPr>
    <w:rPr>
      <w:sz w:val="18"/>
    </w:rPr>
  </w:style>
  <w:style w:type="paragraph" w:customStyle="1" w:styleId="107">
    <w:name w:val="BodySmall"/>
    <w:qFormat/>
    <w:uiPriority w:val="0"/>
    <w:pPr>
      <w:spacing w:after="200" w:line="276" w:lineRule="auto"/>
    </w:pPr>
    <w:rPr>
      <w:rFonts w:ascii="Times New Roman" w:hAnsi="Times New Roman" w:eastAsia="宋体" w:cstheme="minorBidi"/>
      <w:sz w:val="21"/>
      <w:szCs w:val="22"/>
      <w:lang w:val="en-US" w:eastAsia="en-US" w:bidi="ar-SA"/>
    </w:rPr>
  </w:style>
  <w:style w:type="character" w:styleId="108">
    <w:name w:val="Placeholder Text"/>
    <w:basedOn w:val="42"/>
    <w:unhideWhenUsed/>
    <w:qFormat/>
    <w:uiPriority w:val="99"/>
    <w:rPr>
      <w:color w:val="666666"/>
    </w:rPr>
  </w:style>
  <w:style w:type="character" w:customStyle="1" w:styleId="109">
    <w:name w:val="Unresolved Mention"/>
    <w:basedOn w:val="4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FDAE99-D604-4F16-B6C6-ECDDD62F9C60}">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9</Pages>
  <Words>6933</Words>
  <Characters>9763</Characters>
  <Lines>610</Lines>
  <Paragraphs>546</Paragraphs>
  <TotalTime>2</TotalTime>
  <ScaleCrop>false</ScaleCrop>
  <LinksUpToDate>false</LinksUpToDate>
  <CharactersWithSpaces>10157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2010-10-25T12:56:00Z</dcterms:created>
  <dc:creator>USER</dc:creator>
  <cp:lastModifiedBy>白昼的温度</cp:lastModifiedBy>
  <cp:lastPrinted>2010-11-17T13:04:00Z</cp:lastPrinted>
  <dcterms:modified xsi:type="dcterms:W3CDTF">2026-03-12T08:29:11Z</dcterms:modified>
  <dc:title>A modified offset min-sum decoding algorithm </dc:title>
  <cp:revision>297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736618F97685405C9D620CCEE34CB6F2_13</vt:lpwstr>
  </property>
  <property fmtid="{D5CDD505-2E9C-101B-9397-08002B2CF9AE}" pid="4" name="KSOTemplateDocerSaveRecord">
    <vt:lpwstr>eyJoZGlkIjoiOTAyYzU0NTQyYjk5ODM5YzJhNTQyNWZkYmYzYTA4NzEiLCJ1c2VySWQiOiI0MTc0MDY5ODQifQ==</vt:lpwstr>
  </property>
</Properties>
</file>