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B1B" w:rsidRDefault="008C1B1B" w:rsidP="008C1B1B">
      <w:pPr>
        <w:snapToGrid w:val="0"/>
        <w:spacing w:before="120" w:after="120" w:line="360" w:lineRule="auto"/>
        <w:jc w:val="lef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附件</w:t>
      </w:r>
      <w:r>
        <w:rPr>
          <w:rFonts w:ascii="黑体" w:eastAsia="黑体" w:hAnsi="黑体" w:cs="黑体" w:hint="eastAsia"/>
          <w:szCs w:val="32"/>
        </w:rPr>
        <w:t>1</w:t>
      </w:r>
    </w:p>
    <w:p w:rsidR="008C1B1B" w:rsidRDefault="008C1B1B" w:rsidP="008C1B1B">
      <w:pPr>
        <w:snapToGrid w:val="0"/>
        <w:spacing w:line="579" w:lineRule="exact"/>
        <w:ind w:firstLine="640"/>
        <w:jc w:val="righ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非密</w:t>
      </w:r>
    </w:p>
    <w:p w:rsidR="008C1B1B" w:rsidRDefault="008C1B1B" w:rsidP="008C1B1B">
      <w:pPr>
        <w:pStyle w:val="a0"/>
      </w:pPr>
    </w:p>
    <w:p w:rsidR="008C1B1B" w:rsidRDefault="008C1B1B" w:rsidP="008C1B1B">
      <w:pPr>
        <w:snapToGrid w:val="0"/>
        <w:spacing w:before="120" w:after="120" w:line="360" w:lineRule="auto"/>
        <w:ind w:firstLineChars="41" w:firstLine="197"/>
        <w:jc w:val="center"/>
        <w:rPr>
          <w:rFonts w:eastAsia="黑体"/>
          <w:spacing w:val="20"/>
          <w:kern w:val="0"/>
          <w:sz w:val="44"/>
          <w:szCs w:val="20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  <w:pStyle w:val="Title"/>
      </w:pPr>
      <w:r>
        <w:rPr>
          <w:rFonts w:ascii="方正小标宋_GBK" w:eastAsia="方正小标宋_GBK" w:hAnsi="方正小标宋_GBK" w:cs="方正小标宋_GBK" w:hint="eastAsia"/>
          <w:spacing w:val="20"/>
          <w:kern w:val="0"/>
          <w:sz w:val="48"/>
          <w:szCs w:val="21"/>
        </w:rPr>
        <w:t xml:space="preserve">PlanCoder项目测试检验大纲</w:t>
      </w:r>
    </w:p>
    <w:p w:rsidR="008C1B1B" w:rsidRDefault="008C1B1B" w:rsidP="008C1B1B">
      <w:pPr>
        <w:snapToGrid w:val="0"/>
        <w:spacing w:before="120" w:after="120" w:line="360" w:lineRule="auto"/>
        <w:jc w:val="center"/>
        <w:rPr>
          <w:rFonts w:eastAsia="黑体"/>
          <w:spacing w:val="20"/>
          <w:kern w:val="0"/>
          <w:sz w:val="44"/>
          <w:szCs w:val="20"/>
        </w:rPr>
      </w:pPr>
    </w:p>
    <w:p w:rsidR="008C1B1B" w:rsidRDefault="008C1B1B" w:rsidP="008C1B1B">
      <w:pPr>
        <w:pStyle w:val="a0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4890"/>
      </w:tblGrid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协议编号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协议名称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承担单位：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项目负责人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起止时间：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协议经费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拟制时间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  <w:sectPr w:rsidR="008C1B1B">
          <w:pgSz w:w="11905" w:h="16838"/>
          <w:pgMar w:top="2098" w:right="1474" w:bottom="1984" w:left="1587" w:header="851" w:footer="1417" w:gutter="0"/>
          <w:cols w:space="720"/>
          <w:docGrid w:linePitch="326"/>
          <w:pgNumType w:start="1"/>
        </w:sect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  <w:szCs w:val="32"/>
        </w:rPr>
        <w:t xml:space="preserve">目  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一 测试目的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二 测试依据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三 测试检验总体方案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四 测试场景设置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五 风险分析与防范措施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 项目测试检验总体安排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子附件 测试大纲评审意见与专家组成表</w:t>
      </w:r>
    </w:p>
    <w:p w:rsidR="008C1B1B" w:rsidRDefault="008C1B1B" w:rsidP="008C1B1B">
      <w:pPr>
        <w:pStyle w:val="a0"/>
        <w:sectPr w:rsidR="008C1B1B">
          <w:headerReference w:type="even" r:id="rId9"/>
          <w:headerReference w:type="default" r:id="rId10"/>
          <w:pgSz w:w="11905" w:h="16838"/>
          <w:pgMar w:top="2098" w:right="1474" w:bottom="1984" w:left="1587" w:header="851" w:footer="1361" w:gutter="0"/>
          <w:cols w:space="720"/>
          <w:docGrid w:linePitch="312"/>
        </w:sectPr>
      </w:pP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测试目的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对PlanCoder技术分项形成的指标定义、规则条件函数、展示页面、HTTP接口及历史结果索引开展可重复测试，为中期检查提供技术依据。测试范围为当前可核查成果，不代替项目全部合同指标覆盖性审查。项目协议基本信息和经费本次留空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三项计划质量评分是质量信号；通过率方差是结果波动量；低评分规则为预测假设；三阶段控制为修复策略。测试需确认这些类型与证据状态被正确区分，不将分数或布尔标记解释为校准后的失败概率。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测试依据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依据甲方下发附件2的文档结构、附件3测试大纲与测试报告参考模板，以及2026年9月15日会议纪要提出的成果、节点、专家回避和支撑材料要求编制。技术依据为现有论文稿、PlanCoder研究实现、原有指标规则目录和本次接口实现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正式协议及其考核原文未在本次填写范围内。现有页面配置的指标不少于10项、规则不少于5种仅作目标参考，须由项目组结合协议复核；本分项不以候选数量推定合同达标。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测试检验总体方案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测试对象包括指标与规则条目、可调用计算和条件函数、本地展示与接口、历史结果证据四类。设计五种场景：目录与类型核对、评分和方差计算、规则与阶段边界、历史结果复算、评分配置与错误处理。各项先完成内部自测，再由项目组按协议确定外部测试组织方式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当前建议采用专家复核与现场操作演示，对数学口径、规则类型、证据来源和复算程序进行联合检查。这些对象包含模型评分输入边界与研究证据判读，仅凭页面数量或单次接口调用不足以评价。是否采用专家测试以及具体专家、地点、日期由项目组确认；本稿不虚构已安排的第三方机构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专家应按会议纪要落实回避原则，不得包括项目牵头单位及本单位专家。正式测试前固定软件版本、测试数据、日志与哈希，准备独立运行环境；全过程保留实际结果、异常与专家签字。真实外部模型评分为可选配置项，本轮内部自测未发起模型调用，不将其列为已完成性能验证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测试场景设置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场景PC-T01至PC-T05分别检验目录完整性、指标计算与来源要求、条件与预算边界、历史记录可追溯性，以及模型配置和异常响应。确定性函数用合成输入检验；研究效果通过原始结果复算与专家复核检验，两者不混同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PC-T01 目录查询与成果类型核对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PC-T01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目录查询与成果类型核对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指标库 规则库 展示页面与查询接口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Windows本地环境；Python标准库服务；Node.js浏览器函数测试；localhost访问。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本机开发工作站；正式专家测试设备编号留空。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目录审查、HTTP接口测试和页面操作核对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catalog.json；4项PlanCoder指标、3条风险假设、3条策略；PULSE原8项指标6条规则。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固定版本与输入，保存输出及哈希；合成样例和历史记录分开说明，不访问隐藏测试作为预测输入。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1.启动server.py，查询health和完整目录。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2.按来源筛选PlanCoder和PULSE。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3.查看类型、证据、函数及计数说明。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1.服务正常并返回UTF-8 JSON。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2.PlanCoder为4项指标6条规则；PULSE为8和6。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3.预测假设与修复策略区分，链接可访问。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PC-T02 计划质量评分与方差计算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PC-T02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计划质量评分与方差计算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S-I01至S-I04 评分记录校验与计算接口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Windows本地环境；Python标准库服务；Node.js浏览器函数测试；localhost访问。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本机开发工作站；正式专家测试设备编号留空。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确定输入复算与非法输入边界测试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带评分理由和来源的合成评分记录；通过率[0,0.5,1,0.5,0.5]及[0,0]。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固定版本与输入，保存输出及哈希；合成样例和历史记录分开说明，不访问隐藏测试作为预测输入。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1.提交三维评分记录并核对来源。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2.计算两组通过率方差。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3.提交越界、NaN、单样本或缺来源输入。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1.分数不被伪造或解释为概率。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2.总体方差分别为0.1与0。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3.非法输入被拒绝，API返回400。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PC-T03 风险条件及修复阶段边界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PC-T03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风险条件及修复阶段边界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S-R01至S-R06及阶段决策接口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Windows本地环境；Python标准库服务；Node.js浏览器函数测试；localhost访问。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本机开发工作站；正式专家测试设备编号留空。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阈值等值测试与阶段边界测试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评分0.59和0.6，阈值0.6；公开测试通过标记与计划修复0/5、代码修复0/6组合。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固定版本与输入，保存输出及哈希；合成样例和历史记录分开说明，不访问隐藏测试作为预测输入。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1.检查低评分条件的严格小于关系。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2.检查计划修复、检索修复和停止。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3.检查负数、布尔次数和超预算输入。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1.0.59触发，0.6不触发。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2.四类阶段动作符合定义，默认最多12次代码生成。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3.非法次数被拒绝。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PC-T04 历史实验结果及证据追溯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PC-T04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历史实验结果及证据追溯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论文RQ3.1对应历史结果与证据索引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Windows本地环境；Python标准库服务；Node.js浏览器函数测试；localhost访问。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本机开发工作站；正式专家测试设备编号留空。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JSONL逐任务去重、统计复算与SHA-256核对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32份历史完整结果；每组合929个唯一任务。包含已识别的重复记录与合并来源。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固定版本与输入，保存输出及哈希；合成样例和历史记录分开说明，不访问隐藏测试作为预测输入。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1.按task_id保留最后一条并排除summary。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2.复算各模型和数据集结果及成本。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3.核对哈希、重复和合并记录。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1.各方法任务数分别为500/139/150/140。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2.PlanCoder宏平均为65.8%和76.9%。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3.异常显式保留，不按成败选优。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PC-T05 评分服务配置与错误响应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PC-T05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评分服务配置与错误响应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真实模型评分接口及API异常处理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Windows本地环境；Python标准库服务；Node.js浏览器函数测试；localhost访问。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本机开发工作站；正式专家测试设备编号留空。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关闭模型配置下的接口测试及评分输入隔离检查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合成任务计划；缺少评分配置、未知条目、错误JSON或媒体类型、跨源请求。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固定版本与输入，保存输出及哈希；合成样例和历史记录分开说明，不访问隐藏测试作为预测输入。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1.未配置模型时请求真实评分。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2.检查三维提示的输入隔离。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3.提交未知条目及非法请求。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1.返回503，不以演示值冒充真实评分。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2.相关性与清晰度不接收测试。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3.按场景返回400/404/415/403。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pacing w:before="0" w:after="0" w:line="500" w:lineRule="exact"/>
        <w:ind w:firstLineChars="200" w:firstLine="560"/>
        <w:jc w:val="left"/>
        <w:rPr>
          <w:sz w:val="28"/>
          <w:szCs w:val="28"/>
          <w:lang w:val="en"/>
        </w:rPr>
        <w:keepNext/>
      </w:pPr>
      <w:r>
        <w:rPr>
          <w:rFonts w:hint="eastAsia"/>
          <w:sz w:val="28"/>
          <w:szCs w:val="28"/>
          <w:lang w:val="en"/>
        </w:rPr>
        <w:t xml:space="preserve">风险分析与防范措施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数据风险：原始结果含重复和多次运行合并。固定按任务编号保留最后记录，不以成败选优；保留合并来源待核项与所有原文件哈希。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证据风险：论文部分分析的原始数据尚未提供。将论文报告值与已复算值分开；未取得录用证明或专家签字时不写已录用或已通过。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配置风险：当前研究目录缺少检索模型权重。完整生成复现实验应补齐权重并要求检索成功，避免auto降级被误认为完整方法。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评价风险：质量评分阈值未独立验证，部分维度相关性较弱。演示阈值显式标注，预测假设与响应策略分列，不以函数测试通过替代预测有效性。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环境风险：不同方法的测试超时与重试策略可能影响成本和通过率。正式独立复核应统一或明确报告这些配置；本次仅对历史记录重新统计。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autoSpaceDE w:val="0"/>
        <w:autoSpaceDN w:val="0"/>
        <w:snapToGrid w:val="0"/>
        <w:spacing w:line="360" w:lineRule="auto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  <w:keepNext/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项目测试检验总体安排</w:t>
      </w:r>
    </w:p>
    <w:tbl>
      <w:tblPr>
        <w:tblStyle w:val="a9"/>
        <w:tblW w:w="4966" w:type="pct"/>
        <w:tblLook w:val="04A0" w:firstRow="1" w:lastRow="0" w:firstColumn="1" w:lastColumn="0" w:noHBand="0" w:noVBand="1"/>
      </w:tblPr>
      <w:tblGrid>
        <w:gridCol w:w="608"/>
        <w:gridCol w:w="1203"/>
        <w:gridCol w:w="3059"/>
        <w:gridCol w:w="1898"/>
        <w:gridCol w:w="1353"/>
        <w:gridCol w:w="993"/>
      </w:tblGrid>
      <w:tr w:rsidR="008C1B1B" w:rsidTr="00F17581">
        <w:trPr>
          <w:trHeight w:val="676"/>
        </w:trPr>
        <w:tc>
          <w:tcPr>
            <w:tcW w:w="333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序号</w:t>
            </w:r>
          </w:p>
        </w:tc>
        <w:tc>
          <w:tcPr>
            <w:tcW w:w="660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测试对象名称</w:t>
            </w:r>
          </w:p>
        </w:tc>
        <w:tc>
          <w:tcPr>
            <w:tcW w:w="1677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考核指标（要求）</w:t>
            </w:r>
          </w:p>
        </w:tc>
        <w:tc>
          <w:tcPr>
            <w:tcW w:w="1040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测试检验方式</w:t>
            </w:r>
          </w:p>
        </w:tc>
        <w:tc>
          <w:tcPr>
            <w:tcW w:w="742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测试时间</w:t>
            </w:r>
          </w:p>
        </w:tc>
        <w:tc>
          <w:tcPr>
            <w:tcW w:w="545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备注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</w:t>
            </w:r>
          </w:p>
        </w:tc>
        <w:tc>
          <w:tcPr>
            <w:tcW w:w="660" w:type="pct"/>
            <w:vMerge w:val="restar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指标库 规则库 展示页面与查询接口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目录查询与成果类型核对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i/>
                <w:iCs/>
                <w:sz w:val="24"/>
              </w:rPr>
            </w:pPr>
            <w:r>
              <w:rPr>
                <w:rFonts w:ascii="仿宋_GB2312" w:hAnsi="仿宋_GB2312" w:cs="仿宋_GB2312" w:hint="eastAsia"/>
                <w:i/>
                <w:iCs/>
                <w:snapToGrid w:val="0"/>
                <w:kern w:val="32"/>
                <w:sz w:val="18"/>
                <w:szCs w:val="1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eastAsia="宋体"/>
                <w:sz w:val="21"/>
                <w:szCs w:val="21"/>
              </w:rPr>
            </w:pPr>
            <w:r>
              <w:rPr>
                <w:rFonts w:ascii="仿宋_GB2312" w:hAnsi="仿宋_GB2312" w:cs="仿宋_GB2312" w:hint="eastAsia"/>
                <w:snapToGrid w:val="0"/>
                <w:kern w:val="32"/>
                <w:sz w:val="16"/>
                <w:szCs w:val="16"/>
              </w:rPr>
              <w:t>PC-T01</w:t>
            </w:r>
          </w:p>
        </w:tc>
      </w:tr>
      <w:tr w:rsidR="008C1B1B" w:rsidTr="00F17581">
        <w:trPr>
          <w:trHeight w:val="90"/>
        </w:trPr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2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S-I01至S-I04 评分记录校验与计算接口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计划质量评分与方差计算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ascii="仿宋_GB2312" w:hAnsi="仿宋_GB2312" w:cs="仿宋_GB2312"/>
                <w:sz w:val="24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ascii="仿宋_GB2312" w:hAnsi="仿宋_GB2312" w:cs="仿宋_GB2312"/>
                <w:i/>
                <w:iCs/>
                <w:sz w:val="18"/>
                <w:szCs w:val="18"/>
              </w:rPr>
            </w:pPr>
            <w:r>
              <w:rPr>
                <w:rFonts w:ascii="仿宋_GB2312" w:hAnsi="仿宋_GB2312" w:cs="仿宋_GB2312" w:hint="eastAsia"/>
                <w:i/>
                <w:iCs/>
                <w:snapToGrid w:val="0"/>
                <w:kern w:val="32"/>
                <w:sz w:val="18"/>
                <w:szCs w:val="1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ascii="仿宋_GB2312" w:hAnsi="仿宋_GB2312" w:cs="仿宋_GB2312"/>
                <w:sz w:val="20"/>
                <w:szCs w:val="20"/>
              </w:rPr>
            </w:pPr>
            <w:r>
              <w:rPr>
                <w:rFonts w:ascii="仿宋_GB2312" w:hAnsi="仿宋_GB2312" w:cs="仿宋_GB2312" w:hint="eastAsia"/>
                <w:snapToGrid w:val="0"/>
                <w:kern w:val="32"/>
                <w:sz w:val="16"/>
                <w:szCs w:val="16"/>
              </w:rPr>
              <w:t>PC-T02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S-R01至S-R06及阶段决策接口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风险条件及修复阶段边界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2"/>
                <w:szCs w:val="22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PC-T03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660" w:type="pct"/>
            <w:vMerge w:val="restar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论文RQ3.1对应历史结果与证据索引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历史实验结果及证据追溯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PC-T04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真实模型评分接口及API异常处理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评分服务配置与错误响应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PC-T05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  <w:tc>
          <w:tcPr>
            <w:tcW w:w="66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 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  <w:tc>
          <w:tcPr>
            <w:tcW w:w="66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 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</w:tr>
    </w:tbl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表内时间、地点、专家组织信息留空；正式测试方式以协议和项目组安排为准。内部自测记录见配套报告，五场景与接口测试记录逐项对应。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beforeLines="100" w:before="240" w:afterLines="100" w:after="240" w:line="4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  <w:pStyle w:val="Title"/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 xml:space="preserve">项目测试检验大纲评审意见</w:t>
      </w:r>
    </w:p>
    <w:tbl>
      <w:tblPr>
        <w:tblW w:w="895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71"/>
        <w:gridCol w:w="4481"/>
        <w:gridCol w:w="1463"/>
        <w:gridCol w:w="1537"/>
      </w:tblGrid>
      <w:tr w:rsidR="008C1B1B" w:rsidTr="00F17581">
        <w:trPr>
          <w:trHeight w:val="1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</w:t>
            </w:r>
            <w:r>
              <w:rPr>
                <w:rFonts w:eastAsia="黑体"/>
                <w:sz w:val="24"/>
                <w:szCs w:val="28"/>
              </w:rPr>
              <w:t>编号</w:t>
            </w:r>
          </w:p>
        </w:tc>
        <w:tc>
          <w:tcPr>
            <w:tcW w:w="7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</w:tr>
      <w:tr w:rsidR="008C1B1B" w:rsidTr="00F17581">
        <w:trPr>
          <w:trHeight w:val="300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</w:t>
            </w:r>
            <w:r>
              <w:rPr>
                <w:rFonts w:eastAsia="黑体"/>
                <w:sz w:val="24"/>
                <w:szCs w:val="28"/>
              </w:rPr>
              <w:t>名称</w:t>
            </w:r>
          </w:p>
        </w:tc>
        <w:tc>
          <w:tcPr>
            <w:tcW w:w="7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/>
                <w:sz w:val="24"/>
                <w:szCs w:val="28"/>
              </w:rPr>
              <w:t>承担单位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00" w:lineRule="exact"/>
              <w:jc w:val="distribute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  <w:szCs w:val="28"/>
              </w:rPr>
              <w:t>项目</w:t>
            </w:r>
            <w:r>
              <w:rPr>
                <w:rFonts w:eastAsia="黑体"/>
                <w:sz w:val="24"/>
                <w:szCs w:val="28"/>
              </w:rPr>
              <w:t>负责人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/>
                <w:sz w:val="24"/>
                <w:szCs w:val="28"/>
              </w:rPr>
              <w:t>起止时间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0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协议价款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B1B" w:rsidRDefault="008C1B1B" w:rsidP="00F17581">
            <w:pPr>
              <w:snapToGrid w:val="0"/>
              <w:spacing w:line="560" w:lineRule="exact"/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评审</w:t>
            </w:r>
            <w:r>
              <w:rPr>
                <w:rFonts w:ascii="黑体" w:eastAsia="黑体" w:hAnsi="黑体"/>
                <w:sz w:val="30"/>
                <w:szCs w:val="30"/>
              </w:rPr>
              <w:t>意见</w:t>
            </w:r>
          </w:p>
        </w:tc>
      </w:tr>
      <w:tr w:rsidR="008C1B1B" w:rsidTr="00F17581">
        <w:trPr>
          <w:trHeight w:val="5303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评审意见：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</w:tc>
      </w:tr>
      <w:tr w:rsidR="008C1B1B" w:rsidTr="00F17581">
        <w:trPr>
          <w:trHeight w:val="1010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B1B" w:rsidRDefault="008C1B1B" w:rsidP="00F17581">
            <w:pPr>
              <w:wordWrap w:val="0"/>
              <w:snapToGrid w:val="0"/>
              <w:spacing w:line="340" w:lineRule="exact"/>
              <w:ind w:firstLine="56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评审专家组长（签字）：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  <w:p w:rsidR="008C1B1B" w:rsidRDefault="008C1B1B" w:rsidP="00F17581">
            <w:pPr>
              <w:spacing w:line="340" w:lineRule="exact"/>
              <w:jc w:val="right"/>
              <w:rPr>
                <w:rFonts w:eastAsia="楷体"/>
                <w:sz w:val="24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00" w:lineRule="exact"/>
        <w:jc w:val="center"/>
        <w:rPr>
          <w:rFonts w:eastAsia="方正小标宋简体"/>
          <w:sz w:val="40"/>
          <w:szCs w:val="44"/>
        </w:rPr>
        <w:keepNext/>
      </w:pPr>
      <w:r>
        <w:rPr>
          <w:rFonts w:eastAsia="方正小标宋简体" w:hint="eastAsia"/>
          <w:sz w:val="40"/>
          <w:szCs w:val="44"/>
        </w:rPr>
        <w:t xml:space="preserve">专家组组成表</w:t>
      </w:r>
    </w:p>
    <w:tbl>
      <w:tblPr>
        <w:tblpPr w:leftFromText="180" w:rightFromText="180" w:vertAnchor="text" w:horzAnchor="page" w:tblpXSpec="center" w:tblpY="215"/>
        <w:tblOverlap w:val="never"/>
        <w:tblW w:w="92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9"/>
        <w:gridCol w:w="1215"/>
        <w:gridCol w:w="4271"/>
        <w:gridCol w:w="1650"/>
        <w:gridCol w:w="1275"/>
      </w:tblGrid>
      <w:tr w:rsidR="008C1B1B" w:rsidTr="00F17581">
        <w:trPr>
          <w:trHeight w:val="680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序号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姓名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单位及职务</w:t>
            </w:r>
            <w:r>
              <w:rPr>
                <w:rFonts w:ascii="黑体" w:eastAsia="黑体" w:hAnsi="黑体"/>
                <w:sz w:val="28"/>
                <w:szCs w:val="28"/>
              </w:rPr>
              <w:t>职称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签字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组长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6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...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</w:tbl>
    <w:sectPr w:rsidR="008C1B1B">
      <w:headerReference w:type="even" r:id="rId16"/>
      <w:headerReference w:type="default" r:id="rId17"/>
      <w:footerReference w:type="even" r:id="rId18"/>
      <w:footerReference w:type="default" r:id="rId19"/>
      <w:pgSz w:w="11905" w:h="16838"/>
      <w:pgMar w:top="2098" w:right="1474" w:bottom="1984" w:left="1587" w:header="851" w:footer="1191" w:gutter="0"/>
      <w:cols w:space="720"/>
      <w:docGrid w:linePitch="436"/>
      <w:pgNumType w:start="1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9269F6" w15:done="0"/>
  <w15:commentEx w15:paraId="09D053E9" w15:done="0"/>
  <w15:commentEx w15:paraId="4B953805" w15:done="0"/>
  <w15:commentEx w15:paraId="14414C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F88" w:rsidRDefault="00C93F88">
      <w:r>
        <w:separator/>
      </w:r>
    </w:p>
  </w:endnote>
  <w:endnote w:type="continuationSeparator" w:id="0">
    <w:p w:rsidR="00C93F88" w:rsidRDefault="00C9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5F2413" wp14:editId="40F7CE8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  <w:rPr>
                              <w:rFonts w:ascii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G//gq25AQAATAMAAA4AAAAAAAAAAAAAAAAALgIAAGRycy9lMm9Eb2Mu&#10;eG1sUEsBAi0AFAAGAAgAAAAhAHGq0bnXAAAABQEAAA8AAAAAAAAAAAAAAAAAEwQAAGRycy9kb3du&#10;cmV2LnhtbFBLBQYAAAAABAAEAPMAAAAXBQAAAAA=&#10;" filled="f" stroked="f" strokeweight=".5pt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  <w:rPr>
                        <w:rFonts w:ascii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1596C1" wp14:editId="5145482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38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  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7" type="#_x0000_t202" style="position:absolute;left:0;text-align:left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38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99B0A7" wp14:editId="0D1AF3B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8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DhdL6H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24FA9" wp14:editId="0606BBA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9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  <w:rPr>
                        <w:rFonts w:ascii="宋体" w:eastAsia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13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0587E" wp14:editId="5AEF9F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>
                          <w:pPr>
                            <w:pStyle w:val="a7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40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7" o:spid="_x0000_s1030" type="#_x0000_t202" style="position:absolute;margin-left:92.8pt;margin-top:0;width:2in;height:2in;z-index:25166540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CYyr7L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>
                    <w:pPr>
                      <w:pStyle w:val="a7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40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94F" w:rsidRDefault="00366144">
    <w:pPr>
      <w:pStyle w:val="a7"/>
    </w:pPr>
    <w:r>
      <w:rPr>
        <w:rFonts w:ascii="宋体" w:eastAsia="宋体" w:hAnsi="宋体" w:cs="宋体" w:hint="eastAsia"/>
        <w:sz w:val="28"/>
        <w:szCs w:val="28"/>
      </w:rPr>
      <w:t xml:space="preserve">  </w:t>
    </w: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Fonts w:ascii="宋体" w:eastAsia="宋体" w:hAnsi="宋体" w:cs="宋体" w:hint="eastAsia"/>
        <w:sz w:val="28"/>
        <w:szCs w:val="28"/>
      </w:rPr>
      <w:instrText xml:space="preserve"> PAGE  \* MERGEFORMAT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Fonts w:ascii="宋体" w:eastAsia="宋体" w:hAnsi="宋体" w:cs="宋体" w:hint="eastAsia"/>
        <w:sz w:val="28"/>
        <w:szCs w:val="28"/>
      </w:rPr>
      <w:t>1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F88" w:rsidRDefault="00C93F88">
      <w:r>
        <w:separator/>
      </w:r>
    </w:p>
  </w:footnote>
  <w:footnote w:type="continuationSeparator" w:id="0">
    <w:p w:rsidR="00C93F88" w:rsidRDefault="00C93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E730A0"/>
    <w:multiLevelType w:val="singleLevel"/>
    <w:tmpl w:val="EEE730A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4FD5A5D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26FAECF3"/>
    <w:multiLevelType w:val="singleLevel"/>
    <w:tmpl w:val="26FAECF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538608A1"/>
    <w:multiLevelType w:val="multilevel"/>
    <w:tmpl w:val="538608A1"/>
    <w:lvl w:ilvl="0">
      <w:start w:val="1"/>
      <w:numFmt w:val="bullet"/>
      <w:lvlText w:val=""/>
      <w:lvlJc w:val="left"/>
      <w:pPr>
        <w:ind w:left="10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>
    <w:nsid w:val="5FAFB51B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ngkaichen">
    <w15:presenceInfo w15:providerId="None" w15:userId="fengkaic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94F"/>
    <w:rsid w:val="00102C42"/>
    <w:rsid w:val="00284C08"/>
    <w:rsid w:val="00366144"/>
    <w:rsid w:val="008C1B1B"/>
    <w:rsid w:val="00C93F88"/>
    <w:rsid w:val="00EF694F"/>
    <w:rsid w:val="00FB5658"/>
    <w:rsid w:val="48B657DE"/>
    <w:rsid w:val="575D445A"/>
    <w:rsid w:val="7D6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Title">
    <w:name w:val="Title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31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oter" Target="footer5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739</Words>
  <Characters>4218</Characters>
  <Application>Microsoft Office Word</Application>
  <DocSecurity>0</DocSecurity>
  <Lines>35</Lines>
  <Paragraphs>9</Paragraphs>
  <ScaleCrop>false</ScaleCrop>
  <Company>Microsoft</Company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fengkaichen</dc:creator>
  <cp:lastModifiedBy>冯凯晨</cp:lastModifiedBy>
  <cp:revision>4</cp:revision>
  <dcterms:created xsi:type="dcterms:W3CDTF">2025-10-16T09:34:00Z</dcterms:created>
  <dcterms:modified xsi:type="dcterms:W3CDTF">2026-09-16T10:44:00Z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5EEE26282CC342D4856C6209292C58B6</vt:lpwstr>
  </property>
</Properties>
</file>