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智能软件决策多元不确定性主动感知方法研究报告"/>
    <w:p>
      <w:pPr>
        <w:pStyle w:val="Title"/>
      </w:pPr>
      <w:r>
        <w:rPr>
          <w:rFonts w:hint="eastAsia" w:ascii="黑体" w:hAnsi="黑体" w:cs="黑体" w:eastAsia="黑体"/>
          <w:color w:val="000000"/>
        </w:rPr>
        <w:t xml:space="preserve">智能软件决策多元不确定性主动感知方法研究报告</w:t>
      </w:r>
    </w:p>
    <w:p>
      <w:pPr>
        <w:pStyle w:val="FirstParagraph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项目编号：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项目名称：智能软件决策不确定性在线感知与质量风险预测技术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牵头责任单位：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承研单位：北京航空航天大学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项目负责人：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协议编号：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研究周期：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编制日期：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ascii="黑体" w:hAnsi="黑体" w:cs="黑体" w:eastAsia="黑体"/>
              <w:color w:val="000000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sectPr>
          <w:type w:val="nextPage"/>
          <w:pgSz w:w="12240" w:h="15840"/>
          <w:pgMar w:top="1440" w:right="1440" w:bottom="1440" w:left="1440" w:header="720" w:footer="720" w:gutter="0"/>
        </w:sectPr>
      </w:pPr>
    </w:p>
    <w:bookmarkStart w:id="9" w:name="摘要"/>
    <w:p>
      <w:pPr>
        <w:pStyle w:val="Heading1"/>
      </w:pPr>
      <w:r>
        <w:rPr>
          <w:rFonts w:hint="eastAsia" w:ascii="黑体" w:hAnsi="黑体" w:cs="黑体" w:eastAsia="黑体"/>
          <w:color w:val="000000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项目围绕大模型代码生成中的需求理解、任务规划与信息获取，研究如何在决策过程中主动识别信息不足，并选择澄清、修复或检索等动作。报告基于三篇论文，分别介绍生成前需求不确定性预测与选择性澄清、计划质量感知与分阶段优化、黑盒置信信号向检索决策传播三种方法。需求端方法将离线多次生成的结构和功能波动转为监督标签，训练轻量文本分类器，在生成前选择值得澄清的需求；规划端方法以可见测试约束计划，并结合三维评分、计划修复和计划引导的案例检索改善代码实现；传播方法以结构化探测取得自报置信度，通过预先冻结的阈值控制外部证据获取。各方法均按研究动机、预先研究、研究方法和实验验证展开，区分信号有效性、干预收益与计算成本。已有实验支持需求澄清和计划优化在所测代码任务上的作用，以及置信信号在问答检索资源分配中的价值；三者在同一软件任务上的联合收益仍需专门验证。</w:t>
      </w:r>
    </w:p>
    <w:p>
      <w:pPr>
        <w:pStyle w:val="BodyText"/>
      </w:pPr>
      <w:r>
        <w:rPr>
          <w:rFonts w:hint="eastAsia"/>
        </w:rPr>
        <w:t xml:space="preserve">关键词：主动感知；需求不确定性；选择性澄清；计划质量；分阶段修复；不确定性传播</w:t>
      </w:r>
    </w:p>
    <w:bookmarkEnd w:id="9"/>
    <w:bookmarkStart w:id="14" w:name="研究目的与问题定位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1 </w:t>
      </w:r>
      <w:r>
        <w:rPr>
          <w:rFonts w:hint="eastAsia" w:ascii="黑体" w:hAnsi="黑体" w:cs="黑体" w:eastAsia="黑体"/>
          <w:color w:val="000000"/>
        </w:rPr>
        <w:t xml:space="preserve">研究目的与问题定位</w:t>
      </w:r>
    </w:p>
    <w:bookmarkStart w:id="10" w:name="从多阶段代码生成到不确定性主动感知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1.1 </w:t>
      </w:r>
      <w:r>
        <w:rPr>
          <w:rFonts w:hint="eastAsia" w:ascii="黑体" w:hAnsi="黑体" w:cs="黑体" w:eastAsia="黑体"/>
          <w:color w:val="000000"/>
        </w:rPr>
        <w:t xml:space="preserve">从多阶段代码生成到不确定性主动感知</w:t>
      </w:r>
    </w:p>
    <w:p>
      <w:pPr>
        <w:pStyle w:val="FirstParagraph"/>
      </w:pPr>
      <w:r>
        <w:t xml:space="preserve">MapCoder </w:t>
      </w:r>
      <w:r>
        <w:rPr>
          <w:rFonts w:hint="eastAsia"/>
        </w:rPr>
        <w:t xml:space="preserve">将相关示例回忆、求解规划、代码生成和测试驱动调试组织为多个智能体协作的过程[1]。它说明代码质量不仅取决于最后一次生成，还受任务理解、计划选择与反馈使用影响。由此，本项目将研究对象扩展到代码生成前后的连续决策：需求是否充分、计划是否可靠、知识是否足够，以及执行反馈应当用于修改哪个对象。</w:t>
      </w:r>
    </w:p>
    <w:p>
      <w:pPr>
        <w:pStyle w:val="BodyText"/>
      </w:pPr>
      <w:r>
        <w:rPr>
          <w:rFonts w:hint="eastAsia"/>
        </w:rPr>
        <w:t xml:space="preserve">这一过程存在多元不确定性。需求缺少边界条件时，模型可能采用不同解释，也可能稳定采用错误解释；计划遗漏算法步骤时，后续代码可能继承缺陷；面对陌生接口或知识性问题时，模型需要判断是否获取外部证据。如果只在最终代码失败后增加生成次数，既难以解释问题来源，也可能把预算投入错误的环节。</w:t>
      </w:r>
    </w:p>
    <w:p>
      <w:pPr>
        <w:pStyle w:val="BodyText"/>
      </w:pPr>
      <w:r>
        <w:rPr>
          <w:rFonts w:hint="eastAsia"/>
        </w:rPr>
        <w:t xml:space="preserve">本项目把主动感知定义为：在明确的决策时点取得可用的不确定性或质量信号，据此选择有针对性的信息获取或修改动作，并评价其对后续结果的影响。研究目的包括识别生成前的需求风险、建立可评价和可修复的中间计划，以及使一个模块产生的信号能够指导另一模块行动。这些目的将需求、计划与传播研究统一到代码生成可靠性问题上，同时保留各自不同的观察对象。</w:t>
      </w:r>
    </w:p>
    <w:p>
      <w:pPr>
        <w:pStyle w:val="BodyText"/>
      </w:pPr>
      <w:r>
        <w:rPr>
          <w:rFonts w:hint="eastAsia"/>
        </w:rPr>
        <w:t xml:space="preserve">三篇论文的实证载体并不完全相同。需求端和规划端研究直接采用代码任务；推理—检索传播研究采用知识问答，验证黑盒信号如何参与证据获取[2–4]。后者可以为软件文档和接口知识查询提供方法启发，但其问答效果不能直接视为代码正确率提升。</w:t>
      </w:r>
    </w:p>
    <w:bookmarkEnd w:id="10"/>
    <w:bookmarkStart w:id="11" w:name="三种方法及观察时点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1.2 </w:t>
      </w:r>
      <w:r>
        <w:rPr>
          <w:rFonts w:hint="eastAsia" w:ascii="黑体" w:hAnsi="黑体" w:cs="黑体" w:eastAsia="黑体"/>
          <w:color w:val="000000"/>
        </w:rPr>
        <w:t xml:space="preserve">三种方法及观察时点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672"/>
        <w:gridCol w:w="2048"/>
        <w:gridCol w:w="1277"/>
        <w:gridCol w:w="2212"/>
        <w:gridCol w:w="2151"/>
      </w:tblGrid>
      <w:tr>
        <w:trPr>
          <w:tblHeader w:val="on"/>
        </w:trPr>
        <w:tc>
          <w:tcPr>
            <w:tcW w:w="167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方法</w:t>
            </w:r>
          </w:p>
        </w:tc>
        <w:tc>
          <w:tcPr>
            <w:tcW w:w="204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感知对象与信号</w:t>
            </w:r>
          </w:p>
        </w:tc>
        <w:tc>
          <w:tcPr>
            <w:tcW w:w="127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取得信号的时点</w:t>
            </w:r>
          </w:p>
        </w:tc>
        <w:tc>
          <w:tcPr>
            <w:tcW w:w="221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主动动作</w:t>
            </w:r>
          </w:p>
        </w:tc>
        <w:tc>
          <w:tcPr>
            <w:tcW w:w="21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主要评价</w:t>
            </w:r>
          </w:p>
        </w:tc>
      </w:tr>
      <w:tr>
        <w:tc>
          <w:tcPr>
            <w:tcW w:w="167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生成前需求预测与选择性澄清</w:t>
            </w:r>
          </w:p>
        </w:tc>
        <w:tc>
          <w:tcPr>
            <w:tcW w:w="204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需求文本；由离线生成波动监督的分类分数</w:t>
            </w:r>
          </w:p>
        </w:tc>
        <w:tc>
          <w:tcPr>
            <w:tcW w:w="127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在线代码生成前</w:t>
            </w:r>
          </w:p>
        </w:tc>
        <w:tc>
          <w:tcPr>
            <w:tcW w:w="22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针对缺失约束提问，保留原需求并追加确认信息</w:t>
            </w:r>
          </w:p>
        </w:tc>
        <w:tc>
          <w:tcPr>
            <w:tcW w:w="21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分类性能、澄清后的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pass@1、项目测试结果</w:t>
            </w:r>
          </w:p>
        </w:tc>
      </w:tr>
      <w:tr>
        <w:tc>
          <w:tcPr>
            <w:tcW w:w="167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计划质量感知与分阶段优化</w:t>
            </w:r>
          </w:p>
        </w:tc>
        <w:tc>
          <w:tcPr>
            <w:tcW w:w="204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可行性、相关性、清晰度；公开测试反馈</w:t>
            </w:r>
          </w:p>
        </w:tc>
        <w:tc>
          <w:tcPr>
            <w:tcW w:w="127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计划生成后及每次公开测试后</w:t>
            </w:r>
          </w:p>
        </w:tc>
        <w:tc>
          <w:tcPr>
            <w:tcW w:w="22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修复计划、重新生成、按最终计划检索并修复代码</w:t>
            </w:r>
          </w:p>
        </w:tc>
        <w:tc>
          <w:tcPr>
            <w:tcW w:w="21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隐藏测试正确性、任务内方差、调用与运行成本</w:t>
            </w:r>
          </w:p>
        </w:tc>
      </w:tr>
      <w:tr>
        <w:tc>
          <w:tcPr>
            <w:tcW w:w="167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黑盒置信信号驱动检索</w:t>
            </w:r>
          </w:p>
        </w:tc>
        <w:tc>
          <w:tcPr>
            <w:tcW w:w="204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临时答案、自报置信度、简短状态</w:t>
            </w:r>
          </w:p>
        </w:tc>
        <w:tc>
          <w:tcPr>
            <w:tcW w:w="127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探测后、检索前</w:t>
            </w:r>
          </w:p>
        </w:tc>
        <w:tc>
          <w:tcPr>
            <w:tcW w:w="22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根据阈值直接回答或检索后再回答</w:t>
            </w:r>
          </w:p>
        </w:tc>
        <w:tc>
          <w:tcPr>
            <w:tcW w:w="21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问答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F1、检索量、token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和分配收益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种方法将较昂贵的重复生成放在离线阶段，在线直接从需求文本预测；第二种方法利用可检查的计划和公开执行反馈调整生成过程；第三种方法将局部置信信号传给检索模块，研究是否值得补充证据。它们分别改变输入条件、中间方案和证据获取决策。</w:t>
      </w:r>
    </w:p>
    <w:p>
      <w:pPr>
        <w:pStyle w:val="BodyText"/>
      </w:pPr>
      <w:r>
        <w:rPr>
          <w:rFonts w:hint="eastAsia"/>
        </w:rPr>
        <w:t xml:space="preserve">三种信号即使都取值于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也没有共同的概率含义。需求分类分数预测的是由特定探测模型定义的高不确定性类别，计划评分描述方案质量，自报置信度描述模型表达出的确定程度。因此，本项目分别解释信号和校准阈值，不把它们直接平均成统一错误概率。</w:t>
      </w:r>
    </w:p>
    <w:bookmarkEnd w:id="11"/>
    <w:bookmarkStart w:id="12" w:name="研究问题与信息边界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1.3 </w:t>
      </w:r>
      <w:r>
        <w:rPr>
          <w:rFonts w:hint="eastAsia" w:ascii="黑体" w:hAnsi="黑体" w:cs="黑体" w:eastAsia="黑体"/>
          <w:color w:val="000000"/>
        </w:rPr>
        <w:t xml:space="preserve">研究问题与信息边界</w:t>
      </w:r>
    </w:p>
    <w:p>
      <w:pPr>
        <w:pStyle w:val="FirstParagraph"/>
      </w:pPr>
      <w:r>
        <w:rPr>
          <w:rFonts w:hint="eastAsia"/>
        </w:rPr>
        <w:t xml:space="preserve">本项目关注四个相互关联的问题：能否在生成前识别值得补充的信息；能否通过计划质量检查定位可修复的中间缺陷；局部信号能否指导下游模块进行有效选择；这些动作的质量收益与资源消耗如何权衡。信号相关性、评分一致性和策略效果分别回答不同问题，实验需要同时记录，而不能用其中一项代替全部结论。</w:t>
      </w:r>
    </w:p>
    <w:p>
      <w:pPr>
        <w:pStyle w:val="BodyText"/>
      </w:pPr>
      <w:r>
        <w:rPr>
          <w:rFonts w:hint="eastAsia"/>
        </w:rPr>
        <w:t xml:space="preserve">每次决策只能使用当时允许取得的信息。在线需求分类不调用当前任务的隐藏测试；计划评分和修复使用可见测试；问答路由不读取参考答案。离线监督和最终评价可以使用研究设置规定的测试或标准答案，但应与实际在线输入分开记录。澄清中补充的信息也应有来源，不能把评估答案伪装成真实用户提供的条件。</w:t>
      </w:r>
    </w:p>
    <w:p>
      <w:pPr>
        <w:pStyle w:val="BodyText"/>
      </w:pPr>
      <w:r>
        <w:rPr>
          <w:rFonts w:hint="eastAsia"/>
        </w:rPr>
        <w:t xml:space="preserve">应用中保留任务版本、观察时点、信号、阈值、所选动作、结果和成本即可支持过程复核。三项论文提供各自方法的实验依据，但没有共同证明一个已经完成联合验证的端到端系统；第五章据此限定可直接使用的部分和需要迁移评估的部分。</w:t>
      </w:r>
    </w:p>
    <w:bookmarkEnd w:id="12"/>
    <w:bookmarkStart w:id="13" w:name="相关研究与方法定位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1.4 </w:t>
      </w:r>
      <w:r>
        <w:rPr>
          <w:rFonts w:hint="eastAsia" w:ascii="黑体" w:hAnsi="黑体" w:cs="黑体" w:eastAsia="黑体"/>
          <w:color w:val="000000"/>
        </w:rPr>
        <w:t xml:space="preserve">相关研究与方法定位</w:t>
      </w:r>
    </w:p>
    <w:p>
      <w:pPr>
        <w:pStyle w:val="FirstParagraph"/>
      </w:pPr>
      <w:r>
        <w:rPr>
          <w:rFonts w:hint="eastAsia"/>
          <w:b/>
          <w:bCs/>
        </w:rPr>
        <w:t xml:space="preserve">需求澄清与欠规格处理。</w:t>
      </w:r>
      <w:r>
        <w:t xml:space="preserve"> </w:t>
      </w:r>
      <w:r>
        <w:t xml:space="preserve">CodeClarQA </w:t>
      </w:r>
      <w:r>
        <w:rPr>
          <w:rFonts w:hint="eastAsia"/>
        </w:rPr>
        <w:t xml:space="preserve">将不充分的自然语言描述、代码以及澄清问答组织为研究任务，说明补充需求信息可以改善生成，并提出何时询问、询问什么的问题[5]。ClarifyGPT</w:t>
      </w:r>
      <w:r>
        <w:t xml:space="preserve"> </w:t>
      </w:r>
      <w:r>
        <w:rPr>
          <w:rFonts w:hint="eastAsia"/>
        </w:rPr>
        <w:t xml:space="preserve">通过代码一致性分析识别潜在需求歧义，再生成针对性问题，利用回答细化需求[6]。这些工作为把用户信息获取纳入生成流程提供了基础，也表明澄清内容需要与实现有关。其识别和交互过程可能涉及代码生成或测试，生成前低成本预测因此具有独立研究价值。</w:t>
      </w:r>
    </w:p>
    <w:p>
      <w:pPr>
        <w:pStyle w:val="BodyText"/>
      </w:pPr>
      <w:r>
        <w:rPr>
          <w:rFonts w:hint="eastAsia"/>
          <w:b/>
          <w:bCs/>
        </w:rPr>
        <w:t xml:space="preserve">需求不确定性与输入敏感性。</w:t>
      </w:r>
      <w:r>
        <w:t xml:space="preserve"> </w:t>
      </w:r>
      <w:r>
        <w:rPr>
          <w:rFonts w:hint="eastAsia"/>
        </w:rPr>
        <w:t xml:space="preserve">需求含糊和模型生成不稳定并不完全等价。明确需求也可能因模型能力不足产生波动，模糊需求也可能被模型稳定地解释为同一种含义。需求论文通过多种受控扰动检查文本变化与下游表现的关系，并以结构差异和功能波动构造面向模型的监督信号[2]。本项目据此将“对人而言不充分”与“在给定模型下容易产生不稳定结果”分别解释，研究由离线生成行为学习在线文本预测的可行性。</w:t>
      </w:r>
    </w:p>
    <w:p>
      <w:pPr>
        <w:pStyle w:val="BodyText"/>
      </w:pPr>
      <w:r>
        <w:rPr>
          <w:rFonts w:hint="eastAsia"/>
          <w:b/>
          <w:bCs/>
        </w:rPr>
        <w:t xml:space="preserve">计划生成与中间方案评价。</w:t>
      </w:r>
      <w:r>
        <w:t xml:space="preserve"> </w:t>
      </w:r>
      <w:r>
        <w:rPr>
          <w:rFonts w:hint="eastAsia"/>
        </w:rPr>
        <w:t xml:space="preserve">自规划方法将求解过程分为规划和实现，使模型先组织步骤，再据此生成代码[7]。MapCoder</w:t>
      </w:r>
      <w:r>
        <w:t xml:space="preserve"> </w:t>
      </w:r>
      <w:r>
        <w:rPr>
          <w:rFonts w:hint="eastAsia"/>
        </w:rPr>
        <w:t xml:space="preserve">进一步把规划放入多智能体协作过程[1]。这些研究说明计划具有指导价值，但“有计划”并不能说明计划中哪些因素有效。计划论文比较不同提示和测试条件，并从可行性、相关性与清晰度评价计划[3]。本项目由此把计划视为可独立检查的中间对象，进一步研究失败后先修计划还是进入代码修复。</w:t>
      </w:r>
    </w:p>
    <w:p>
      <w:pPr>
        <w:pStyle w:val="BodyText"/>
      </w:pPr>
      <w:r>
        <w:rPr>
          <w:rFonts w:hint="eastAsia"/>
          <w:b/>
          <w:bCs/>
        </w:rPr>
        <w:t xml:space="preserve">代码差异、功能波动与质量。</w:t>
      </w:r>
      <w:r>
        <w:t xml:space="preserve"> </w:t>
      </w:r>
      <w:r>
        <w:t xml:space="preserve">CodeBLEU </w:t>
      </w:r>
      <w:r>
        <w:rPr>
          <w:rFonts w:hint="eastAsia"/>
        </w:rPr>
        <w:t xml:space="preserve">从多个层面度量代码相似性[8]，可为候选结构分散程度提供计算工具；执行测试则提供功能表现。两者结合能区分形式差异与行为波动，但仍不能把低差异解释为高正确性。需求论文使用二者形成综合分数，计划论文则用任务内测试通过率方差分析稳定性[2–3]。本项目同时保留平均质量和波动指标，以免将稳定失败误写为不确定性已经消除。</w:t>
      </w:r>
    </w:p>
    <w:p>
      <w:pPr>
        <w:pStyle w:val="BodyText"/>
      </w:pPr>
      <w:r>
        <w:rPr>
          <w:rFonts w:hint="eastAsia"/>
          <w:b/>
          <w:bCs/>
        </w:rPr>
        <w:t xml:space="preserve">检索增强与模块协同。</w:t>
      </w:r>
      <w:r>
        <w:t xml:space="preserve"> </w:t>
      </w:r>
      <w:r>
        <w:rPr>
          <w:rFonts w:hint="eastAsia"/>
        </w:rPr>
        <w:t xml:space="preserve">外部检索可补充模型参数知识，但检索时机和查询内容会影响最终结果。IRCoT</w:t>
      </w:r>
      <w:r>
        <w:t xml:space="preserve"> </w:t>
      </w:r>
      <w:r>
        <w:rPr>
          <w:rFonts w:hint="eastAsia"/>
        </w:rPr>
        <w:t xml:space="preserve">将检索与多步推理交替组织，使后续检索利用已经形成的推理状态[9]。推理—检索论文关注另一种较简单的协同形式：黑盒模型先报告置信度，再由一个固定规则决定是否进行一次检索[4]。其研究重点是信号对资源分配是否有价值，不能将该流程描述为逐步传播完整推理链的多轮系统。</w:t>
      </w:r>
    </w:p>
    <w:p>
      <w:pPr>
        <w:pStyle w:val="BodyText"/>
      </w:pPr>
      <w:r>
        <w:rPr>
          <w:rFonts w:hint="eastAsia"/>
          <w:b/>
          <w:bCs/>
        </w:rPr>
        <w:t xml:space="preserve">本项目的研究定位。</w:t>
      </w:r>
      <w:r>
        <w:t xml:space="preserve"> </w:t>
      </w:r>
      <w:r>
        <w:rPr>
          <w:rFonts w:hint="eastAsia"/>
        </w:rPr>
        <w:t xml:space="preserve">三种方法分别对应需求信息、中间计划和证据获取三个可干预位置。需求端强调将离线行为压缩为生成前可用的信号；规划端强调从可解释评分进入分阶段优化；传播方法强调让局部可观察信号影响下游行动。比较这些方法时，需要同时关注信息可见性、标签含义、任务分布和资源预算。已有工作提供不同层面的支持，本项目据此形成有明确输入、动作和评价对象的方法体系。</w:t>
      </w:r>
    </w:p>
    <w:bookmarkEnd w:id="13"/>
    <w:bookmarkEnd w:id="14"/>
    <w:bookmarkStart w:id="19" w:name="生成前需求不确定性预测与选择性澄清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2 </w:t>
      </w:r>
      <w:r>
        <w:rPr>
          <w:rFonts w:hint="eastAsia" w:ascii="黑体" w:hAnsi="黑体" w:cs="黑体" w:eastAsia="黑体"/>
          <w:color w:val="000000"/>
        </w:rPr>
        <w:t xml:space="preserve">生成前需求不确定性预测与选择性澄清</w:t>
      </w:r>
    </w:p>
    <w:bookmarkStart w:id="15" w:name="研究动机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2.1 </w:t>
      </w:r>
      <w:r>
        <w:rPr>
          <w:rFonts w:hint="eastAsia" w:ascii="黑体" w:hAnsi="黑体" w:cs="黑体" w:eastAsia="黑体"/>
          <w:color w:val="000000"/>
        </w:rPr>
        <w:t xml:space="preserve">研究动机</w:t>
      </w:r>
    </w:p>
    <w:p>
      <w:pPr>
        <w:pStyle w:val="FirstParagraph"/>
      </w:pPr>
      <w:r>
        <w:rPr>
          <w:rFonts w:hint="eastAsia"/>
        </w:rPr>
        <w:t xml:space="preserve">相同代码生成器面对不同需求时，结果稳定性可能明显不同。需求缺少关键约束会增加实现选择空间，但格式、噪声和表述长度也可能影响模型处理。逐条人工判断不适合大规模任务，逐条先生成多份代码再判断又会消耗较高成本，并使感知发生在生成之后。</w:t>
      </w:r>
    </w:p>
    <w:p>
      <w:pPr>
        <w:pStyle w:val="BodyText"/>
      </w:pPr>
      <w:r>
        <w:rPr>
          <w:rFonts w:hint="eastAsia"/>
        </w:rPr>
        <w:t xml:space="preserve">需求论文的目标是把“需要反复生成才能观察的波动”转化为“读取需求即可取得的预测”，并只对值得补充信息的需求进行澄清[2]。方法既要关注预测性能，也要检查所选择的澄清是否改善实际代码质量。由于监督来自某一探测模型，目标类别表示模型条件下的生成不确定性，而不是所有开发者都会一致认定的歧义标签。</w:t>
      </w:r>
    </w:p>
    <w:bookmarkEnd w:id="15"/>
    <w:bookmarkStart w:id="16" w:name="预先研究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2.2 </w:t>
      </w:r>
      <w:r>
        <w:rPr>
          <w:rFonts w:hint="eastAsia" w:ascii="黑体" w:hAnsi="黑体" w:cs="黑体" w:eastAsia="黑体"/>
          <w:color w:val="000000"/>
        </w:rPr>
        <w:t xml:space="preserve">预先研究</w:t>
      </w:r>
    </w:p>
    <w:p>
      <w:pPr>
        <w:pStyle w:val="FirstParagraph"/>
      </w:pPr>
      <w:r>
        <w:rPr>
          <w:rFonts w:hint="eastAsia"/>
        </w:rPr>
        <w:t xml:space="preserve">预先研究在</w:t>
      </w:r>
      <w:r>
        <w:t xml:space="preserve"> HumanEval-ET </w:t>
      </w:r>
      <w:r>
        <w:rPr>
          <w:rFonts w:hint="eastAsia"/>
        </w:rPr>
        <w:t xml:space="preserve">和</w:t>
      </w:r>
      <w:r>
        <w:t xml:space="preserve"> LiveCodeBench </w:t>
      </w:r>
      <w:r>
        <w:rPr>
          <w:rFonts w:hint="eastAsia"/>
        </w:rPr>
        <w:t xml:space="preserve">上设置六类扰动：内容改写对功能细节、边界或任务描述进行抽象；格式转换调整表达组织；示例移除减少示例信息；冗长改写扩展描述而保持功能要求；噪声注入添加无关内容；拼写扰动改变字符。每个原始或扰动需求由</w:t>
      </w:r>
      <w:r>
        <w:t xml:space="preserve"> DeepSeek-V4-Flash </w:t>
      </w:r>
      <w:r>
        <w:rPr>
          <w:rFonts w:hint="eastAsia"/>
        </w:rPr>
        <w:t xml:space="preserve">生成五个候选，在固定测试条件下计算平均通过率和生成波动[2]。</w:t>
      </w:r>
    </w:p>
    <w:p>
      <w:pPr>
        <w:pStyle w:val="BodyText"/>
      </w:pPr>
      <w:r>
        <w:rPr>
          <w:rFonts w:hint="eastAsia"/>
        </w:rPr>
        <w:t xml:space="preserve">设候选代码为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，测试通过率为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P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CodeBLEU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P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0.25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+</m:t>
              </m:r>
              <m:r>
                <m:t>S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APR </w:t>
      </w:r>
      <w:r>
        <w:rPr>
          <w:rFonts w:hint="eastAsia"/>
        </w:rPr>
        <w:t xml:space="preserve">衡量质量，D</w:t>
      </w:r>
      <w:r>
        <w:t xml:space="preserve"> </w:t>
      </w:r>
      <w:r>
        <w:rPr>
          <w:rFonts w:hint="eastAsia"/>
        </w:rPr>
        <w:t xml:space="preserve">衡量结构分散，S</w:t>
      </w:r>
      <w:r>
        <w:t xml:space="preserve"> </w:t>
      </w:r>
      <w:r>
        <w:rPr>
          <w:rFonts w:hint="eastAsia"/>
        </w:rPr>
        <w:t xml:space="preserve">衡量功能波动。配对变化采用原始</w:t>
      </w:r>
      <w:r>
        <w:t xml:space="preserve"> APR </w:t>
      </w:r>
      <w:r>
        <w:rPr>
          <w:rFonts w:hint="eastAsia"/>
        </w:rPr>
        <w:t xml:space="preserve">减扰动</w:t>
      </w:r>
      <w:r>
        <w:t xml:space="preserve"> </w:t>
      </w:r>
      <w:r>
        <w:rPr>
          <w:rFonts w:hint="eastAsia"/>
        </w:rPr>
        <w:t xml:space="preserve">APR，以及扰动</w:t>
      </w:r>
      <w:r>
        <w:t xml:space="preserve"> UQ </w:t>
      </w:r>
      <w:r>
        <w:rPr>
          <w:rFonts w:hint="eastAsia"/>
        </w:rPr>
        <w:t xml:space="preserve">减原始</w:t>
      </w:r>
      <w:r>
        <w:t xml:space="preserve"> </w:t>
      </w:r>
      <w:r>
        <w:rPr>
          <w:rFonts w:hint="eastAsia"/>
        </w:rPr>
        <w:t xml:space="preserve">UQ。内容改写在两个数据集上均造成较明显的质量退化和</w:t>
      </w:r>
      <w:r>
        <w:t xml:space="preserve"> UQ </w:t>
      </w:r>
      <w:r>
        <w:rPr>
          <w:rFonts w:hint="eastAsia"/>
        </w:rPr>
        <w:t xml:space="preserve">增加；无关噪声不必然增加</w:t>
      </w:r>
      <w:r>
        <w:t xml:space="preserve"> </w:t>
      </w:r>
      <w:r>
        <w:rPr>
          <w:rFonts w:hint="eastAsia"/>
        </w:rPr>
        <w:t xml:space="preserve">UQ，拼写变化较小，其他扰动则存在数据集差异。这些结果支持直接观察模型行为，而不是按扰动名称预先赋予固定风险等级。</w:t>
      </w:r>
    </w:p>
    <w:p>
      <w:pPr>
        <w:pStyle w:val="BodyText"/>
      </w:pPr>
      <w:r>
        <w:rPr>
          <w:rFonts w:hint="eastAsia"/>
        </w:rPr>
        <w:t xml:space="preserve">预研究还比较探测模型的敏感性[2]：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52"/>
        <w:gridCol w:w="3106"/>
        <w:gridCol w:w="2051"/>
        <w:gridCol w:w="2051"/>
      </w:tblGrid>
      <w:tr>
        <w:trPr>
          <w:tblHeader w:val="on"/>
        </w:trPr>
        <w:tc>
          <w:tcPr>
            <w:tcW w:w="215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310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探测模型</w:t>
            </w:r>
          </w:p>
        </w:tc>
        <w:tc>
          <w:tcPr>
            <w:tcW w:w="20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APR</w:t>
            </w:r>
          </w:p>
        </w:tc>
        <w:tc>
          <w:tcPr>
            <w:tcW w:w="20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UQ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DeepSeek-V3.2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0.844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0.057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Qwen2.5-7B-Coder-Instruct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0.807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0.154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DeepSeek-V3.2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0.527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0.148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Qwen2.5-7B-Coder-Instruct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0.493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0.255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较强模型可能在更多输入条件下保持稳定，掩盖用于区分需求的波动。论文因此选择</w:t>
      </w:r>
      <w:r>
        <w:t xml:space="preserve"> Qwen2.5-7B-Coder-Instruct </w:t>
      </w:r>
      <w:r>
        <w:rPr>
          <w:rFonts w:hint="eastAsia"/>
        </w:rPr>
        <w:t xml:space="preserve">作为离线探测模型。这是为获得有区分度监督信号作出的选择，不表示其代码生成质量高于较强模型。</w:t>
      </w:r>
    </w:p>
    <w:bookmarkEnd w:id="16"/>
    <w:bookmarkStart w:id="17" w:name="研究方法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2.3 </w:t>
      </w:r>
      <w:r>
        <w:rPr>
          <w:rFonts w:hint="eastAsia" w:ascii="黑体" w:hAnsi="黑体" w:cs="黑体" w:eastAsia="黑体"/>
          <w:color w:val="000000"/>
        </w:rPr>
        <w:t xml:space="preserve">研究方法</w:t>
      </w:r>
    </w:p>
    <w:p>
      <w:pPr>
        <w:pStyle w:val="FirstParagraph"/>
      </w:pPr>
      <w:r>
        <w:rPr>
          <w:rFonts w:hint="eastAsia"/>
          <w:b/>
          <w:bCs/>
        </w:rPr>
        <w:t xml:space="preserve">离线构造监督。</w:t>
      </w:r>
      <w:r>
        <w:t xml:space="preserve"> </w:t>
      </w:r>
      <w:r>
        <w:rPr>
          <w:rFonts w:hint="eastAsia"/>
        </w:rPr>
        <w:t xml:space="preserve">对每个需求使用探测模型生成十份代码，计算</w:t>
      </w:r>
      <w:r>
        <w:t xml:space="preserve"> </w:t>
      </w:r>
      <w:r>
        <w:rPr>
          <w:rFonts w:hint="eastAsia"/>
        </w:rPr>
        <w:t xml:space="preserve">UQ；在</w:t>
      </w:r>
      <w:r>
        <w:t xml:space="preserve"> UQ </w:t>
      </w:r>
      <w:r>
        <w:rPr>
          <w:rFonts w:hint="eastAsia"/>
        </w:rPr>
        <w:t xml:space="preserve">分布上拟合两个分量的高斯混合模型，用</w:t>
      </w:r>
      <w:r>
        <w:t xml:space="preserve"> EM </w:t>
      </w:r>
      <w:r>
        <w:rPr>
          <w:rFonts w:hint="eastAsia"/>
        </w:rPr>
        <w:t xml:space="preserve">估计参数，将均值较高的分量记为高不确定性分量。需求标签定义为：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0.5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这里的概率用于构造标签，重复生成与执行都发生在离线阶段。标签与探测模型、解码和测试条件有关，不能解释为用户需求存在歧义的客观概率。</w:t>
      </w:r>
    </w:p>
    <w:p>
      <w:pPr>
        <w:pStyle w:val="BodyText"/>
      </w:pPr>
      <w:r>
        <w:rPr>
          <w:rFonts w:hint="eastAsia"/>
          <w:b/>
          <w:bCs/>
        </w:rPr>
        <w:t xml:space="preserve">训练生成前预测器。</w:t>
      </w:r>
      <w:r>
        <w:t xml:space="preserve"> </w:t>
      </w:r>
      <w:r>
        <w:rPr>
          <w:rFonts w:hint="eastAsia"/>
        </w:rPr>
        <w:t xml:space="preserve">用</w:t>
      </w:r>
      <w:r>
        <w:t xml:space="preserve"> RoBERTa </w:t>
      </w:r>
      <w:r>
        <w:rPr>
          <w:rFonts w:hint="eastAsia"/>
        </w:rPr>
        <w:t xml:space="preserve">编码需求文本，接轻量二分类头，得到</w:t>
      </w:r>
      <w:r>
        <w:t xml:space="preserve"> </w:t>
      </w:r>
      <m:oMath>
        <m:sSub>
          <m:e>
            <m:r>
              <m:t>p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r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。在线只需输入文本，按验证集选定的阈值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判断是否澄清：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混合模型的</w:t>
      </w:r>
      <w:r>
        <w:t xml:space="preserve"> 0.5 </w:t>
      </w:r>
      <w:r>
        <w:rPr>
          <w:rFonts w:hint="eastAsia"/>
        </w:rPr>
        <w:t xml:space="preserve">后验阈值与在线分类阈值是两个不同设置。论文根据高不确定性识别目标在验证集选择后者，而不假设模型输出已经校准、直接固定为</w:t>
      </w:r>
      <w:r>
        <w:t xml:space="preserve"> </w:t>
      </w:r>
      <w:r>
        <w:rPr>
          <w:rFonts w:hint="eastAsia"/>
        </w:rPr>
        <w:t xml:space="preserve">0.5。预测本身不调用代码生成模型；论文报告约</w:t>
      </w:r>
      <w:r>
        <w:t xml:space="preserve"> 10 ms </w:t>
      </w:r>
      <w:r>
        <w:rPr>
          <w:rFonts w:hint="eastAsia"/>
        </w:rPr>
        <w:t xml:space="preserve">的单需求分类时间，零生成式</w:t>
      </w:r>
      <w:r>
        <w:t xml:space="preserve"> API token </w:t>
      </w:r>
      <w:r>
        <w:rPr>
          <w:rFonts w:hint="eastAsia"/>
        </w:rPr>
        <w:t xml:space="preserve">开销不意味着零本地计算成本。</w:t>
      </w:r>
    </w:p>
    <w:p>
      <w:pPr>
        <w:pStyle w:val="BodyText"/>
      </w:pPr>
      <w:r>
        <w:rPr>
          <w:rFonts w:hint="eastAsia"/>
          <w:b/>
          <w:bCs/>
        </w:rPr>
        <w:t xml:space="preserve">面向实现的信息获取。</w:t>
      </w:r>
      <w:r>
        <w:t xml:space="preserve"> </w:t>
      </w:r>
      <w:r>
        <w:rPr>
          <w:rFonts w:hint="eastAsia"/>
        </w:rPr>
        <w:t xml:space="preserve">对预测为高不确定性的需求，由提问智能体关注边界情况、输入输出类型、异常处理、性能要求和缺失上下文。回答智能体模拟用户，根据原始需求提供最小且直接的回答；实验使用同一大模型承担相应角色。对话设定轮次上限，若已没有可操作的新信息则提前结束。论文没有将一个统一轮数作为所有场景的固定结论，应用时应按交互预算配置。</w:t>
      </w:r>
    </w:p>
    <w:p>
      <w:pPr>
        <w:pStyle w:val="BodyText"/>
      </w:pPr>
      <w:r>
        <w:rPr>
          <w:rFonts w:hint="eastAsia"/>
          <w:b/>
          <w:bCs/>
        </w:rPr>
        <w:t xml:space="preserve">保留来源的需求整合。</w:t>
      </w:r>
      <w:r>
        <w:t xml:space="preserve"> </w:t>
      </w:r>
      <w:r>
        <w:rPr>
          <w:rFonts w:hint="eastAsia"/>
        </w:rPr>
        <w:t xml:space="preserve">最终输入保留原始需求主体，并追加编号后的已确认信息，而不直接用重写文本覆盖原需求。这样可以区分原有要求与后续补充，便于检查语义漂移。实际使用中，无法从原文确认的事实需要由真实用户或授权资料提供；实验模拟回答的条件不能当作已经验证的真实用户交互效果。</w:t>
      </w:r>
    </w:p>
    <w:bookmarkEnd w:id="17"/>
    <w:bookmarkStart w:id="18" w:name="实验验证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2.4 </w:t>
      </w:r>
      <w:r>
        <w:rPr>
          <w:rFonts w:hint="eastAsia" w:ascii="黑体" w:hAnsi="黑体" w:cs="黑体" w:eastAsia="黑体"/>
          <w:color w:val="000000"/>
        </w:rPr>
        <w:t xml:space="preserve">实验验证</w:t>
      </w:r>
    </w:p>
    <w:p>
      <w:pPr>
        <w:pStyle w:val="FirstParagraph"/>
      </w:pPr>
      <w:r>
        <w:rPr>
          <w:rFonts w:hint="eastAsia"/>
        </w:rPr>
        <w:t xml:space="preserve">实验采用</w:t>
      </w:r>
      <w:r>
        <w:t xml:space="preserve"> HumanEval-ET 164 </w:t>
      </w:r>
      <w:r>
        <w:rPr>
          <w:rFonts w:hint="eastAsia"/>
        </w:rPr>
        <w:t xml:space="preserve">题、MBPP-ET</w:t>
      </w:r>
      <w:r>
        <w:t xml:space="preserve"> 974 </w:t>
      </w:r>
      <w:r>
        <w:rPr>
          <w:rFonts w:hint="eastAsia"/>
        </w:rPr>
        <w:t xml:space="preserve">题，以及</w:t>
      </w:r>
      <w:r>
        <w:t xml:space="preserve"> LiveCodeBench release_v6 </w:t>
      </w:r>
      <w:r>
        <w:rPr>
          <w:rFonts w:hint="eastAsia"/>
        </w:rPr>
        <w:t xml:space="preserve">中适合函数签名形式的</w:t>
      </w:r>
      <w:r>
        <w:t xml:space="preserve"> 444 </w:t>
      </w:r>
      <w:r>
        <w:rPr>
          <w:rFonts w:hint="eastAsia"/>
        </w:rPr>
        <w:t xml:space="preserve">题；后者从</w:t>
      </w:r>
      <w:r>
        <w:t xml:space="preserve"> 1,055 </w:t>
      </w:r>
      <w:r>
        <w:rPr>
          <w:rFonts w:hint="eastAsia"/>
        </w:rPr>
        <w:t xml:space="preserve">题筛选得到。论文按</w:t>
      </w:r>
      <w:r>
        <w:t xml:space="preserve"> 6:2:2 </w:t>
      </w:r>
      <w:r>
        <w:rPr>
          <w:rFonts w:hint="eastAsia"/>
        </w:rPr>
        <w:t xml:space="preserve">划分数据并合并训练数据训练分类器，使用</w:t>
      </w:r>
      <w:r>
        <w:t xml:space="preserve"> DeepSeek-V4-Flash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GPT-5.4-mini，比较直接生成、MapCoder</w:t>
      </w:r>
      <w:r>
        <w:t xml:space="preserve"> </w:t>
      </w:r>
      <w:r>
        <w:rPr>
          <w:rFonts w:hint="eastAsia"/>
        </w:rPr>
        <w:t xml:space="preserve">与</w:t>
      </w:r>
      <w:r>
        <w:t xml:space="preserve"> DebateCoder </w:t>
      </w:r>
      <w:r>
        <w:rPr>
          <w:rFonts w:hint="eastAsia"/>
        </w:rPr>
        <w:t xml:space="preserve">三类生成流程[2]。不同研究问题采用不同评估子集，以下分别保留各表的统计口径。</w:t>
      </w:r>
    </w:p>
    <w:p>
      <w:pPr>
        <w:pStyle w:val="BodyText"/>
      </w:pPr>
      <w:r>
        <w:rPr>
          <w:rFonts w:hint="eastAsia"/>
          <w:b/>
          <w:bCs/>
        </w:rPr>
        <w:t xml:space="preserve">澄清对代码生成的作用。</w:t>
      </w:r>
      <w:r>
        <w:t xml:space="preserve"> </w:t>
      </w:r>
      <w:r>
        <w:rPr>
          <w:rFonts w:hint="eastAsia"/>
        </w:rPr>
        <w:t xml:space="preserve">论文表</w:t>
      </w:r>
      <w:r>
        <w:t xml:space="preserve"> III </w:t>
      </w:r>
      <w:r>
        <w:rPr>
          <w:rFonts w:hint="eastAsia"/>
        </w:rPr>
        <w:t xml:space="preserve">报告的完整干预评估集为</w:t>
      </w:r>
      <w:r>
        <w:t xml:space="preserve"> HumanEval-ET 40 </w:t>
      </w:r>
      <w:r>
        <w:rPr>
          <w:rFonts w:hint="eastAsia"/>
        </w:rPr>
        <w:t xml:space="preserve">题、LiveCodeBench</w:t>
      </w:r>
      <w:r>
        <w:t xml:space="preserve"> 136 </w:t>
      </w:r>
      <w:r>
        <w:rPr>
          <w:rFonts w:hint="eastAsia"/>
        </w:rPr>
        <w:t xml:space="preserve">题、MBPP-ET</w:t>
      </w:r>
      <w:r>
        <w:t xml:space="preserve"> 198 </w:t>
      </w:r>
      <w:r>
        <w:rPr>
          <w:rFonts w:hint="eastAsia"/>
        </w:rPr>
        <w:t xml:space="preserve">题，其中实际澄清分别为</w:t>
      </w:r>
      <w:r>
        <w:t xml:space="preserve"> 6、77、81 </w:t>
      </w:r>
      <w:r>
        <w:rPr>
          <w:rFonts w:hint="eastAsia"/>
        </w:rPr>
        <w:t xml:space="preserve">题。下表为这些完整评估集的</w:t>
      </w:r>
      <w:r>
        <w:t xml:space="preserve"> </w:t>
      </w:r>
      <w:r>
        <w:rPr>
          <w:rFonts w:hint="eastAsia"/>
        </w:rPr>
        <w:t xml:space="preserve">pass@1，箭头表示加入需求处理前后；并非整个原始数据集上的结果。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62"/>
        <w:gridCol w:w="2351"/>
        <w:gridCol w:w="2424"/>
        <w:gridCol w:w="2423"/>
      </w:tblGrid>
      <w:tr>
        <w:trPr>
          <w:tblHeader w:val="on"/>
        </w:trPr>
        <w:tc>
          <w:tcPr>
            <w:tcW w:w="216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生成流程</w:t>
            </w:r>
          </w:p>
        </w:tc>
        <w:tc>
          <w:tcPr>
            <w:tcW w:w="23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2424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DeepSeek-V4-Flash</w:t>
            </w:r>
          </w:p>
        </w:tc>
        <w:tc>
          <w:tcPr>
            <w:tcW w:w="242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GPT-5.4-mini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直接生成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67.5% → 67.5%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52.5% → 55.0%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直接生成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50.7% → 61.0%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65.4% → 68.4%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直接生成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47.5% → 53.0%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47.5% → 54.0%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85.0% → 90.0%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67.5% → 72.5%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79.4% → 86.0%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85.3% → 87.5%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74.2% → 74.7%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63.6% → 66.7%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92.5% → 92.5%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80.0% → 80.0%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81.6% → 86.0%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78.7% → 82.4%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46.0% → 49.0%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47.0% → 55.6%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结果说明需求处理可与不同生成流程组合，但增益依赖基准、模型与原流程。HumanEval-ET</w:t>
      </w:r>
      <w:r>
        <w:t xml:space="preserve"> </w:t>
      </w:r>
      <w:r>
        <w:rPr>
          <w:rFonts w:hint="eastAsia"/>
        </w:rPr>
        <w:t xml:space="preserve">仅澄清六题，其子集比例容易受少量样本影响。直接生成的五次重复实验还在十二种统计设置中的十种观察到</w:t>
      </w:r>
      <w:r>
        <w:t xml:space="preserve"> pass@1 </w:t>
      </w:r>
      <w:r>
        <w:rPr>
          <w:rFonts w:hint="eastAsia"/>
        </w:rPr>
        <w:t xml:space="preserve">方差降低；这里统计的是多次运行的集合级</w:t>
      </w:r>
      <w:r>
        <w:t xml:space="preserve"> </w:t>
      </w:r>
      <w:r>
        <w:rPr>
          <w:rFonts w:hint="eastAsia"/>
        </w:rPr>
        <w:t xml:space="preserve">pass@1，不是单题多份代码测试通过率的方差。</w:t>
      </w:r>
    </w:p>
    <w:p>
      <w:pPr>
        <w:pStyle w:val="BodyText"/>
      </w:pPr>
      <w:r>
        <w:rPr>
          <w:rFonts w:hint="eastAsia"/>
          <w:b/>
          <w:bCs/>
        </w:rPr>
        <w:t xml:space="preserve">选择信号的作用。</w:t>
      </w:r>
      <w:r>
        <w:t xml:space="preserve"> </w:t>
      </w:r>
      <w:r>
        <w:rPr>
          <w:rFonts w:hint="eastAsia"/>
        </w:rPr>
        <w:t xml:space="preserve">在澄清子集中按</w:t>
      </w:r>
      <w:r>
        <w:t xml:space="preserve"> UQ </w:t>
      </w:r>
      <w:r>
        <w:rPr>
          <w:rFonts w:hint="eastAsia"/>
        </w:rPr>
        <w:t xml:space="preserve">分位数分组，MBPP-ET</w:t>
      </w:r>
      <w:r>
        <w:t xml:space="preserve"> </w:t>
      </w:r>
      <w:r>
        <w:rPr>
          <w:rFonts w:hint="eastAsia"/>
        </w:rPr>
        <w:t xml:space="preserve">的高分组通常获得较大收益；LiveCodeBench</w:t>
      </w:r>
      <w:r>
        <w:t xml:space="preserve"> </w:t>
      </w:r>
      <w:r>
        <w:rPr>
          <w:rFonts w:hint="eastAsia"/>
        </w:rPr>
        <w:t xml:space="preserve">并非所有设置都呈单调关系。例如直接生成的中分组从</w:t>
      </w:r>
      <w:r>
        <w:t xml:space="preserve"> 56.9% </w:t>
      </w:r>
      <w:r>
        <w:rPr>
          <w:rFonts w:hint="eastAsia"/>
        </w:rPr>
        <w:t xml:space="preserve">提升至</w:t>
      </w:r>
      <w:r>
        <w:t xml:space="preserve"> </w:t>
      </w:r>
      <w:r>
        <w:rPr>
          <w:rFonts w:hint="eastAsia"/>
        </w:rPr>
        <w:t xml:space="preserve">80.4%，高分组从</w:t>
      </w:r>
      <w:r>
        <w:t xml:space="preserve"> 54.9% </w:t>
      </w:r>
      <w:r>
        <w:rPr>
          <w:rFonts w:hint="eastAsia"/>
        </w:rPr>
        <w:t xml:space="preserve">提升至</w:t>
      </w:r>
      <w:r>
        <w:t xml:space="preserve"> </w:t>
      </w:r>
      <w:r>
        <w:rPr>
          <w:rFonts w:hint="eastAsia"/>
        </w:rPr>
        <w:t xml:space="preserve">70.6%，低分组从</w:t>
      </w:r>
      <w:r>
        <w:t xml:space="preserve"> 71.2%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67.3%，这些值为两种模型的平均结果[2]。因此，UQ</w:t>
      </w:r>
      <w:r>
        <w:t xml:space="preserve"> </w:t>
      </w:r>
      <w:r>
        <w:rPr>
          <w:rFonts w:hint="eastAsia"/>
        </w:rPr>
        <w:t xml:space="preserve">可作为选择依据，但高分不保证收益最大，低分也不能直接解释为没有需求问题。</w:t>
      </w:r>
    </w:p>
    <w:p>
      <w:pPr>
        <w:pStyle w:val="BodyText"/>
      </w:pPr>
      <w:r>
        <w:rPr>
          <w:rFonts w:hint="eastAsia"/>
          <w:b/>
          <w:bCs/>
        </w:rPr>
        <w:t xml:space="preserve">生成前分类能力。</w:t>
      </w:r>
      <w:r>
        <w:t xml:space="preserve"> </w:t>
      </w:r>
      <w:r>
        <w:rPr>
          <w:rFonts w:hint="eastAsia"/>
        </w:rPr>
        <w:t xml:space="preserve">论文表</w:t>
      </w:r>
      <w:r>
        <w:t xml:space="preserve"> V </w:t>
      </w:r>
      <w:r>
        <w:rPr>
          <w:rFonts w:hint="eastAsia"/>
        </w:rPr>
        <w:t xml:space="preserve">的分类评估集与上述干预集不同，结果如下：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623"/>
        <w:gridCol w:w="1547"/>
        <w:gridCol w:w="1547"/>
        <w:gridCol w:w="1547"/>
        <w:gridCol w:w="1547"/>
        <w:gridCol w:w="1549"/>
      </w:tblGrid>
      <w:tr>
        <w:trPr>
          <w:tblHeader w:val="on"/>
        </w:trPr>
        <w:tc>
          <w:tcPr>
            <w:tcW w:w="162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分类样本数／高不确定性数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Macro Precision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Macro Recall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Macro F1</w:t>
            </w:r>
          </w:p>
        </w:tc>
        <w:tc>
          <w:tcPr>
            <w:tcW w:w="154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Weighted F1</w:t>
            </w:r>
          </w:p>
        </w:tc>
      </w:tr>
      <w:tr>
        <w:tc>
          <w:tcPr>
            <w:tcW w:w="16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60／9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0.509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0.507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0.505</w:t>
            </w:r>
          </w:p>
        </w:tc>
        <w:tc>
          <w:tcPr>
            <w:tcW w:w="154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0.765</w:t>
            </w:r>
          </w:p>
        </w:tc>
      </w:tr>
      <w:tr>
        <w:tc>
          <w:tcPr>
            <w:tcW w:w="16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204／82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0.576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0.577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0.559</w:t>
            </w:r>
          </w:p>
        </w:tc>
        <w:tc>
          <w:tcPr>
            <w:tcW w:w="154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0.560</w:t>
            </w:r>
          </w:p>
        </w:tc>
      </w:tr>
      <w:tr>
        <w:tc>
          <w:tcPr>
            <w:tcW w:w="16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297／82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0.556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0.567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0.553</w:t>
            </w:r>
          </w:p>
        </w:tc>
        <w:tc>
          <w:tcPr>
            <w:tcW w:w="154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0.620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分类器在后两个较大评估集上的</w:t>
      </w:r>
      <w:r>
        <w:t xml:space="preserve"> Macro F1 </w:t>
      </w:r>
      <w:r>
        <w:rPr>
          <w:rFonts w:hint="eastAsia"/>
        </w:rPr>
        <w:t xml:space="preserve">和</w:t>
      </w:r>
      <w:r>
        <w:t xml:space="preserve"> Weighted F1 </w:t>
      </w:r>
      <w:r>
        <w:rPr>
          <w:rFonts w:hint="eastAsia"/>
        </w:rPr>
        <w:t xml:space="preserve">高于论文所比较的提示式基线；HumanEval-ET</w:t>
      </w:r>
      <w:r>
        <w:t xml:space="preserve"> </w:t>
      </w:r>
      <w:r>
        <w:rPr>
          <w:rFonts w:hint="eastAsia"/>
        </w:rPr>
        <w:t xml:space="preserve">上少样本</w:t>
      </w:r>
      <w:r>
        <w:t xml:space="preserve"> DeepSeek </w:t>
      </w:r>
      <w:r>
        <w:rPr>
          <w:rFonts w:hint="eastAsia"/>
        </w:rPr>
        <w:t xml:space="preserve">的</w:t>
      </w:r>
      <w:r>
        <w:t xml:space="preserve"> Macro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0.650，高于分类器的</w:t>
      </w:r>
      <w:r>
        <w:t xml:space="preserve"> </w:t>
      </w:r>
      <w:r>
        <w:rPr>
          <w:rFonts w:hint="eastAsia"/>
        </w:rPr>
        <w:t xml:space="preserve">0.505，不能概括为所有基准均最优。分类能力还存在明显改进空间，类别不平衡也要求同时查看宏平均和加权指标。</w:t>
      </w:r>
    </w:p>
    <w:p>
      <w:pPr>
        <w:pStyle w:val="BodyText"/>
      </w:pPr>
      <w:r>
        <w:rPr>
          <w:rFonts w:hint="eastAsia"/>
          <w:b/>
          <w:bCs/>
        </w:rPr>
        <w:t xml:space="preserve">项目级应用。</w:t>
      </w:r>
      <w:r>
        <w:t xml:space="preserve"> </w:t>
      </w:r>
      <w:r>
        <w:rPr>
          <w:rFonts w:hint="eastAsia"/>
        </w:rPr>
        <w:t xml:space="preserve">在</w:t>
      </w:r>
      <w:r>
        <w:t xml:space="preserve"> PythonDevBench </w:t>
      </w:r>
      <w:r>
        <w:rPr>
          <w:rFonts w:hint="eastAsia"/>
        </w:rPr>
        <w:t xml:space="preserve">的十个项目上，论文将需求处理接入项目生成流程，重复五次。全部测试通过的项目平均数量由</w:t>
      </w:r>
      <w:r>
        <w:t xml:space="preserve"> 3.00 </w:t>
      </w:r>
      <w:r>
        <w:rPr>
          <w:rFonts w:hint="eastAsia"/>
        </w:rPr>
        <w:t xml:space="preserve">增至</w:t>
      </w:r>
      <w:r>
        <w:t xml:space="preserve"> </w:t>
      </w:r>
      <w:r>
        <w:rPr>
          <w:rFonts w:hint="eastAsia"/>
        </w:rPr>
        <w:t xml:space="preserve">3.80，平均测试通过比例由</w:t>
      </w:r>
      <w:r>
        <w:t xml:space="preserve"> 0.588 </w:t>
      </w:r>
      <w:r>
        <w:rPr>
          <w:rFonts w:hint="eastAsia"/>
        </w:rPr>
        <w:t xml:space="preserve">增至</w:t>
      </w:r>
      <w:r>
        <w:t xml:space="preserve"> </w:t>
      </w:r>
      <w:r>
        <w:rPr>
          <w:rFonts w:hint="eastAsia"/>
        </w:rPr>
        <w:t xml:space="preserve">0.684[2]。前者单位是“十个项目中的平均项目数”，后者提高</w:t>
      </w:r>
      <w:r>
        <w:t xml:space="preserve"> 9.6 </w:t>
      </w:r>
      <w:r>
        <w:rPr>
          <w:rFonts w:hint="eastAsia"/>
        </w:rPr>
        <w:t xml:space="preserve">个百分点。结果支持小规模项目应用的潜力；模拟用户、有限项目规模及模型条件标签，仍限制其向真实复杂需求直接外推。</w:t>
      </w:r>
    </w:p>
    <w:bookmarkEnd w:id="18"/>
    <w:bookmarkEnd w:id="19"/>
    <w:bookmarkStart w:id="24" w:name="计划质量感知与分阶段代码优化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3 </w:t>
      </w:r>
      <w:r>
        <w:rPr>
          <w:rFonts w:hint="eastAsia" w:ascii="黑体" w:hAnsi="黑体" w:cs="黑体" w:eastAsia="黑体"/>
          <w:color w:val="000000"/>
        </w:rPr>
        <w:t xml:space="preserve">计划质量感知与分阶段代码优化</w:t>
      </w:r>
    </w:p>
    <w:bookmarkStart w:id="20" w:name="研究动机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 </w:t>
      </w:r>
      <w:r>
        <w:rPr>
          <w:rFonts w:hint="eastAsia" w:ascii="黑体" w:hAnsi="黑体" w:cs="黑体" w:eastAsia="黑体"/>
          <w:color w:val="000000"/>
        </w:rPr>
        <w:t xml:space="preserve">研究动机</w:t>
      </w:r>
    </w:p>
    <w:p>
      <w:pPr>
        <w:pStyle w:val="FirstParagraph"/>
      </w:pPr>
      <w:r>
        <w:rPr>
          <w:rFonts w:hint="eastAsia"/>
        </w:rPr>
        <w:t xml:space="preserve">在需求给定之后，计划为算法选择、任务分解和边界处理提供中间表达。已有流程通常把计划作为代码生成提示的一部分，但难以回答怎样的计划更有效，失败后应继续修改代码还是先调整计划。过于冗长的计划可能掩盖关键约束，表述清楚的计划也可能逻辑错误。</w:t>
      </w:r>
    </w:p>
    <w:p>
      <w:pPr>
        <w:pStyle w:val="BodyText"/>
      </w:pPr>
      <w:r>
        <w:rPr>
          <w:rFonts w:hint="eastAsia"/>
        </w:rPr>
        <w:t xml:space="preserve">计划论文据此研究三个问题：不同规划提示是否改善质量与稳定性，计划的哪些维度与后续实现有关，以及能否把这些认识组织成可执行的修复流程[3]。本项目将计划视为可检查、可修订和可用于检索的决策对象，通过可见测试和分阶段反馈逐步定位错误。</w:t>
      </w:r>
    </w:p>
    <w:bookmarkEnd w:id="20"/>
    <w:bookmarkStart w:id="21" w:name="预先研究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3.2 </w:t>
      </w:r>
      <w:r>
        <w:rPr>
          <w:rFonts w:hint="eastAsia" w:ascii="黑体" w:hAnsi="黑体" w:cs="黑体" w:eastAsia="黑体"/>
          <w:color w:val="000000"/>
        </w:rPr>
        <w:t xml:space="preserve">预先研究</w:t>
      </w:r>
    </w:p>
    <w:p>
      <w:pPr>
        <w:pStyle w:val="FirstParagraph"/>
      </w:pPr>
      <w:r>
        <w:rPr>
          <w:rFonts w:hint="eastAsia"/>
          <w:b/>
          <w:bCs/>
        </w:rPr>
        <w:t xml:space="preserve">计划形式与生成表现。</w:t>
      </w:r>
      <w:r>
        <w:t xml:space="preserve"> </w:t>
      </w:r>
      <w:r>
        <w:rPr>
          <w:rFonts w:hint="eastAsia"/>
        </w:rPr>
        <w:t xml:space="preserve">论文使用</w:t>
      </w:r>
      <w:r>
        <w:t xml:space="preserve"> </w:t>
      </w:r>
      <w:r>
        <w:rPr>
          <w:rFonts w:hint="eastAsia"/>
        </w:rPr>
        <w:t xml:space="preserve">DeepSeek-V4-Flash，在</w:t>
      </w:r>
      <w:r>
        <w:t xml:space="preserve"> HumanEval-ET </w:t>
      </w:r>
      <w:r>
        <w:rPr>
          <w:rFonts w:hint="eastAsia"/>
        </w:rPr>
        <w:t xml:space="preserve">和</w:t>
      </w:r>
      <w:r>
        <w:t xml:space="preserve"> MBPP-ET </w:t>
      </w:r>
      <w:r>
        <w:rPr>
          <w:rFonts w:hint="eastAsia"/>
        </w:rPr>
        <w:t xml:space="preserve">上比较五种设置，每任务每设置生成五次[3]。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817"/>
        <w:gridCol w:w="2346"/>
        <w:gridCol w:w="1732"/>
        <w:gridCol w:w="1732"/>
        <w:gridCol w:w="1733"/>
      </w:tblGrid>
      <w:tr>
        <w:trPr>
          <w:tblHeader w:val="on"/>
        </w:trPr>
        <w:tc>
          <w:tcPr>
            <w:tcW w:w="181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234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设置</w:t>
            </w:r>
          </w:p>
        </w:tc>
        <w:tc>
          <w:tcPr>
            <w:tcW w:w="173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Pass@1</w:t>
            </w:r>
          </w:p>
        </w:tc>
        <w:tc>
          <w:tcPr>
            <w:tcW w:w="173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平均测试通过率</w:t>
            </w:r>
          </w:p>
        </w:tc>
        <w:tc>
          <w:tcPr>
            <w:tcW w:w="173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平均任务内方差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无计划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79.76%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91.66%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0.023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自规划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80.37%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95.52%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结合可见测试的计划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82.32%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96.14%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0.002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在自规划中加入可见测试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81.46%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95.89%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0.0025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移除测试的同类计划提示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79.88%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94.71%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0.0037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无计划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50.43%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64.02%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0.023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自规划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51.29%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65.22%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0.004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结合可见测试的计划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60.76%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77.42%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在自规划中加入可见测试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56.84%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72.36%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0.0034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移除测试的同类计划提示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50.72%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64.58%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0.0052</w:t>
            </w:r>
          </w:p>
        </w:tc>
      </w:tr>
    </w:tbl>
    <w:p>
      <w:pPr>
        <w:pStyle w:val="BodyText"/>
      </w:pPr>
      <w:r>
        <w:t xml:space="preserve">Pass@1 </w:t>
      </w:r>
      <w:r>
        <w:rPr>
          <w:rFonts w:hint="eastAsia"/>
        </w:rPr>
        <w:t xml:space="preserve">衡量一次生成完全通过测试的比例，平均测试通过率保留部分通过的信息，方差描述同任务候选之间的波动。结果支持简洁且利用可见测试的计划；额外加入更多规划说明并不保证进一步改善。表中方差按论文原值引用，原文未明确分母约定。</w:t>
      </w:r>
    </w:p>
    <w:p>
      <w:pPr>
        <w:pStyle w:val="BodyText"/>
      </w:pPr>
      <w:r>
        <w:rPr>
          <w:rFonts w:hint="eastAsia"/>
          <w:b/>
          <w:bCs/>
        </w:rPr>
        <w:t xml:space="preserve">计划质量维度。</w:t>
      </w:r>
      <w:r>
        <w:t xml:space="preserve"> </w:t>
      </w:r>
      <w:r>
        <w:rPr>
          <w:rFonts w:hint="eastAsia"/>
        </w:rPr>
        <w:t xml:space="preserve">论文将计划质量分为可行性、需求相关性和清晰度。可行性检查算法能否落实约束并满足可见测试；相关性检查是否覆盖任务目标；清晰度检查步骤和操作是否明确。三个维度分别评分，而不只依赖一个总体印象。</w:t>
      </w:r>
    </w:p>
    <w:p>
      <w:pPr>
        <w:pStyle w:val="BodyText"/>
      </w:pPr>
      <w:r>
        <w:rPr>
          <w:rFonts w:hint="eastAsia"/>
        </w:rPr>
        <w:t xml:space="preserve">研究从生成方差非零且至少有一次完全成功的任务中取得</w:t>
      </w:r>
      <w:r>
        <w:t xml:space="preserve"> 202 </w:t>
      </w:r>
      <w:r>
        <w:rPr>
          <w:rFonts w:hint="eastAsia"/>
        </w:rPr>
        <w:t xml:space="preserve">题，选择每题表现最好和最差的计划，共</w:t>
      </w:r>
      <w:r>
        <w:t xml:space="preserve"> 404 </w:t>
      </w:r>
      <w:r>
        <w:rPr>
          <w:rFonts w:hint="eastAsia"/>
        </w:rPr>
        <w:t xml:space="preserve">份；表现并列时随机选择。各维度与下游测试通过率的</w:t>
      </w:r>
      <w:r>
        <w:t xml:space="preserve"> </w:t>
      </w:r>
      <w:r>
        <w:rPr>
          <w:rFonts w:hint="eastAsia"/>
        </w:rPr>
        <w:t xml:space="preserve">Pearson／Spearman</w:t>
      </w:r>
      <w:r>
        <w:t xml:space="preserve"> </w:t>
      </w:r>
      <w:r>
        <w:rPr>
          <w:rFonts w:hint="eastAsia"/>
        </w:rPr>
        <w:t xml:space="preserve">相关分别为：可行性</w:t>
      </w:r>
      <w:r>
        <w:t xml:space="preserve"> </w:t>
      </w:r>
      <w:r>
        <w:rPr>
          <w:rFonts w:hint="eastAsia"/>
        </w:rPr>
        <w:t xml:space="preserve">0.293／0.158、相关性</w:t>
      </w:r>
      <w:r>
        <w:t xml:space="preserve"> </w:t>
      </w:r>
      <w:r>
        <w:rPr>
          <w:rFonts w:hint="eastAsia"/>
        </w:rPr>
        <w:t xml:space="preserve">0.198／0.101、清晰度</w:t>
      </w:r>
      <w:r>
        <w:t xml:space="preserve"> </w:t>
      </w:r>
      <w:r>
        <w:rPr>
          <w:rFonts w:hint="eastAsia"/>
        </w:rPr>
        <w:t xml:space="preserve">0.102／0.079[3]。可行性的关联更强，但三个分数都不是已校准的成功概率。</w:t>
      </w:r>
    </w:p>
    <w:p>
      <w:pPr>
        <w:pStyle w:val="BodyText"/>
      </w:pPr>
      <w:r>
        <w:rPr>
          <w:rFonts w:hint="eastAsia"/>
        </w:rPr>
        <w:t xml:space="preserve">人工复核按基准分层抽取</w:t>
      </w:r>
      <w:r>
        <w:t xml:space="preserve"> 100 </w:t>
      </w:r>
      <w:r>
        <w:rPr>
          <w:rFonts w:hint="eastAsia"/>
        </w:rPr>
        <w:t xml:space="preserve">题、200</w:t>
      </w:r>
      <w:r>
        <w:t xml:space="preserve"> </w:t>
      </w:r>
      <w:r>
        <w:rPr>
          <w:rFonts w:hint="eastAsia"/>
        </w:rPr>
        <w:t xml:space="preserve">份计划，由三名独立</w:t>
      </w:r>
      <w:r>
        <w:t xml:space="preserve"> Python </w:t>
      </w:r>
      <w:r>
        <w:rPr>
          <w:rFonts w:hint="eastAsia"/>
        </w:rPr>
        <w:t xml:space="preserve">标注者评价。标注者不查看模型分数、代码结果及最好／最差身份。三个维度的人机</w:t>
      </w:r>
      <w:r>
        <w:t xml:space="preserve"> CCC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0.898、0.866、0.839，MAE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0.052、0.044、0.034[3]。这支持评分标准的可解释性；样本的条件筛选仍意味着不能把相关性直接外推到所有任务。</w:t>
      </w:r>
    </w:p>
    <w:bookmarkEnd w:id="21"/>
    <w:bookmarkStart w:id="22" w:name="研究方法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3.3 </w:t>
      </w:r>
      <w:r>
        <w:rPr>
          <w:rFonts w:hint="eastAsia" w:ascii="黑体" w:hAnsi="黑体" w:cs="黑体" w:eastAsia="黑体"/>
          <w:color w:val="000000"/>
        </w:rPr>
        <w:t xml:space="preserve">研究方法</w:t>
      </w:r>
    </w:p>
    <w:p>
      <w:pPr>
        <w:pStyle w:val="FirstParagraph"/>
      </w:pPr>
      <w:r>
        <w:rPr>
          <w:rFonts w:hint="eastAsia"/>
          <w:b/>
          <w:bCs/>
        </w:rPr>
        <w:t xml:space="preserve">初始计划与代码生成。</w:t>
      </w:r>
      <w:r>
        <w:t xml:space="preserve"> </w:t>
      </w:r>
      <w:r>
        <w:rPr>
          <w:rFonts w:hint="eastAsia"/>
        </w:rPr>
        <w:t xml:space="preserve">输入任务及公开可见测试，生成简洁的求解计划，再生成实现并运行公开测试。计划中应明确关键算法、输入输出与边界处理。只要公开测试全部通过，立即返回当前实现，随后在离线评估中使用隐藏测试。</w:t>
      </w:r>
    </w:p>
    <w:p>
      <w:pPr>
        <w:pStyle w:val="BodyText"/>
      </w:pPr>
      <w:r>
        <w:rPr>
          <w:rFonts w:hint="eastAsia"/>
          <w:b/>
          <w:bCs/>
        </w:rPr>
        <w:t xml:space="preserve">依据三维标准修复计划。</w:t>
      </w:r>
      <w:r>
        <w:t xml:space="preserve"> </w:t>
      </w:r>
      <w:r>
        <w:rPr>
          <w:rFonts w:hint="eastAsia"/>
        </w:rPr>
        <w:t xml:space="preserve">初始实现失败时，在计划修复预算内结合失败反馈修订计划，并重新生成代码。可行性检查优先关注错误逻辑和约束缺口，同时检查是否偏离目标、操作是否不清楚。三维标准的评分输入分别为：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可行性使用可见测试，另外两维使用任务与计划。评分用于定位计划缺陷；控制流程是否继续由公开测试反馈和预算决定，不要求把未经验证的评分阈值当成唯一停止条件。论文允许最多五次计划修复，每次随后重新生成并测试代码[3]。</w:t>
      </w:r>
    </w:p>
    <w:p>
      <w:pPr>
        <w:pStyle w:val="BodyText"/>
      </w:pPr>
      <w:r>
        <w:rPr>
          <w:rFonts w:hint="eastAsia"/>
          <w:b/>
          <w:bCs/>
        </w:rPr>
        <w:t xml:space="preserve">最终计划引导检索与代码修复。</w:t>
      </w:r>
      <w:r>
        <w:t xml:space="preserve"> </w:t>
      </w:r>
      <w:r>
        <w:rPr>
          <w:rFonts w:hint="eastAsia"/>
        </w:rPr>
        <w:t xml:space="preserve">若计划修复预算耗尽仍未通过公开测试，以最终计划为唯一查询，在计划索引的参考案例池中检索并重排案例。随后固定最终计划和案例集合，最多执行六次代码修复；每轮只更新代码和失败反馈。这样，计划修复阶段处理方案问题，代码修复阶段利用相对稳定的方案与参考案例处理实现问题。</w:t>
      </w:r>
    </w:p>
    <w:p>
      <w:pPr>
        <w:pStyle w:val="BodyText"/>
      </w:pPr>
      <w:r>
        <w:rPr>
          <w:rFonts w:hint="eastAsia"/>
        </w:rPr>
        <w:t xml:space="preserve">案例池来自</w:t>
      </w:r>
      <w:r>
        <w:t xml:space="preserve"> SWIFTCODER </w:t>
      </w:r>
      <w:r>
        <w:rPr>
          <w:rFonts w:hint="eastAsia"/>
        </w:rPr>
        <w:t xml:space="preserve">的</w:t>
      </w:r>
      <w:r>
        <w:t xml:space="preserve"> 9,451 </w:t>
      </w:r>
      <w:r>
        <w:rPr>
          <w:rFonts w:hint="eastAsia"/>
        </w:rPr>
        <w:t xml:space="preserve">条记录，去除与</w:t>
      </w:r>
      <w:r>
        <w:t xml:space="preserve"> APPS </w:t>
      </w:r>
      <w:r>
        <w:rPr>
          <w:rFonts w:hint="eastAsia"/>
        </w:rPr>
        <w:t xml:space="preserve">重合的</w:t>
      </w:r>
      <w:r>
        <w:t xml:space="preserve"> 21 </w:t>
      </w:r>
      <w:r>
        <w:rPr>
          <w:rFonts w:hint="eastAsia"/>
        </w:rPr>
        <w:t xml:space="preserve">条后保留</w:t>
      </w:r>
      <w:r>
        <w:t xml:space="preserve"> 9,430 </w:t>
      </w:r>
      <w:r>
        <w:rPr>
          <w:rFonts w:hint="eastAsia"/>
        </w:rPr>
        <w:t xml:space="preserve">条，其计划由</w:t>
      </w:r>
      <w:r>
        <w:t xml:space="preserve"> DeepSeek-V4-Flash </w:t>
      </w:r>
      <w:r>
        <w:rPr>
          <w:rFonts w:hint="eastAsia"/>
        </w:rPr>
        <w:t xml:space="preserve">生成[3]。论文报告的去重范围是这一具体重合检查，不能据此推断所有训练污染风险已被排除。</w:t>
      </w:r>
    </w:p>
    <w:p>
      <w:pPr>
        <w:pStyle w:val="BodyText"/>
      </w:pPr>
      <w:r>
        <w:rPr>
          <w:rFonts w:hint="eastAsia"/>
          <w:b/>
          <w:bCs/>
        </w:rPr>
        <w:t xml:space="preserve">预算与返回约定。</w:t>
      </w:r>
      <w:r>
        <w:t xml:space="preserve"> </w:t>
      </w:r>
      <w:r>
        <w:rPr>
          <w:rFonts w:hint="eastAsia"/>
        </w:rPr>
        <w:t xml:space="preserve">整个流程最多包含一次初始代码生成、五次计划修复后的重新生成和六次代码修复，即十二次代码版本生成机会。它不等于十二次大模型调用，因为计划生成、评价或修复也可能需要调用。任一阶段公开测试通过即停止；全部预算耗尽则返回最后版本。隐藏测试不参与阶段选择、修复或中间版本筛选。</w:t>
      </w:r>
    </w:p>
    <w:bookmarkEnd w:id="22"/>
    <w:bookmarkStart w:id="23" w:name="实验验证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3.4 </w:t>
      </w:r>
      <w:r>
        <w:rPr>
          <w:rFonts w:hint="eastAsia" w:ascii="黑体" w:hAnsi="黑体" w:cs="黑体" w:eastAsia="黑体"/>
          <w:color w:val="000000"/>
        </w:rPr>
        <w:t xml:space="preserve">实验验证</w:t>
      </w:r>
    </w:p>
    <w:p>
      <w:pPr>
        <w:pStyle w:val="FirstParagraph"/>
      </w:pPr>
      <w:r>
        <w:rPr>
          <w:rFonts w:hint="eastAsia"/>
          <w:b/>
          <w:bCs/>
        </w:rPr>
        <w:t xml:space="preserve">整体效果。</w:t>
      </w:r>
      <w:r>
        <w:t xml:space="preserve"> </w:t>
      </w:r>
      <w:r>
        <w:rPr>
          <w:rFonts w:hint="eastAsia"/>
        </w:rPr>
        <w:t xml:space="preserve">论文在</w:t>
      </w:r>
      <w:r>
        <w:t xml:space="preserve"> MBPP 500 </w:t>
      </w:r>
      <w:r>
        <w:rPr>
          <w:rFonts w:hint="eastAsia"/>
        </w:rPr>
        <w:t xml:space="preserve">题、APPS</w:t>
      </w:r>
      <w:r>
        <w:t xml:space="preserve"> 139 </w:t>
      </w:r>
      <w:r>
        <w:rPr>
          <w:rFonts w:hint="eastAsia"/>
        </w:rPr>
        <w:t xml:space="preserve">题、CodeContests</w:t>
      </w:r>
      <w:r>
        <w:t xml:space="preserve"> 150 </w:t>
      </w:r>
      <w:r>
        <w:rPr>
          <w:rFonts w:hint="eastAsia"/>
        </w:rPr>
        <w:t xml:space="preserve">题及</w:t>
      </w:r>
      <w:r>
        <w:t xml:space="preserve"> LiveCodeBench 140 </w:t>
      </w:r>
      <w:r>
        <w:rPr>
          <w:rFonts w:hint="eastAsia"/>
        </w:rPr>
        <w:t xml:space="preserve">题，共</w:t>
      </w:r>
      <w:r>
        <w:t xml:space="preserve"> 929 </w:t>
      </w:r>
      <w:r>
        <w:rPr>
          <w:rFonts w:hint="eastAsia"/>
        </w:rPr>
        <w:t xml:space="preserve">个任务上，与</w:t>
      </w:r>
      <w:r>
        <w:t xml:space="preserve"> MapCoder、DebateCoder、LPW </w:t>
      </w:r>
      <w:r>
        <w:rPr>
          <w:rFonts w:hint="eastAsia"/>
        </w:rPr>
        <w:t xml:space="preserve">比较[3]。下表为</w:t>
      </w:r>
      <w:r>
        <w:t xml:space="preserve"> </w:t>
      </w:r>
      <w:r>
        <w:rPr>
          <w:rFonts w:hint="eastAsia"/>
        </w:rPr>
        <w:t xml:space="preserve">pass@1；模型名称沿用论文实验标识，平均列为四个数据集宏平均。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393"/>
        <w:gridCol w:w="1328"/>
        <w:gridCol w:w="1328"/>
        <w:gridCol w:w="1328"/>
        <w:gridCol w:w="1328"/>
        <w:gridCol w:w="1328"/>
        <w:gridCol w:w="1327"/>
      </w:tblGrid>
      <w:tr>
        <w:trPr>
          <w:tblHeader w:val="on"/>
        </w:trPr>
        <w:tc>
          <w:tcPr>
            <w:tcW w:w="139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模型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方法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MBPP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APPS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CodeContests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LiveCodeBench</w:t>
            </w:r>
          </w:p>
        </w:tc>
        <w:tc>
          <w:tcPr>
            <w:tcW w:w="132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69.6%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63.3%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34.0%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78.6%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61.4%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66.8%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64.7%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32.0%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75.7%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59.8%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LPW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70.2%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36.0%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72.9%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60.8%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本项目方法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73.4%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70.5%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40.0%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79.3%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65.8%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74.0%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62.6%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35.3%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82.1%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63.5%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75.2%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69.8%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38.0%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80.7%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65.9%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LPW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73.2%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77.7%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55.3%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81.4%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71.9%</w:t>
            </w:r>
          </w:p>
        </w:tc>
      </w:tr>
      <w:tr>
        <w:tc>
          <w:tcPr>
            <w:tcW w:w="139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本项目方法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75.4%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86.3%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60.0%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85.7%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76.9%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两种模型上相对最强基线宏平均分别提高</w:t>
      </w:r>
      <w:r>
        <w:t xml:space="preserve"> 4.4 </w:t>
      </w:r>
      <w:r>
        <w:rPr>
          <w:rFonts w:hint="eastAsia"/>
        </w:rPr>
        <w:t xml:space="preserve">和</w:t>
      </w:r>
      <w:r>
        <w:t xml:space="preserve"> 5.0 </w:t>
      </w:r>
      <w:r>
        <w:rPr>
          <w:rFonts w:hint="eastAsia"/>
        </w:rPr>
        <w:t xml:space="preserve">个百分点。结果支持完整流程在所测任务上的有效性，不意味着任一单独评分维度都有相同收益。</w:t>
      </w:r>
    </w:p>
    <w:p>
      <w:pPr>
        <w:pStyle w:val="BodyText"/>
      </w:pPr>
      <w:r>
        <w:rPr>
          <w:rFonts w:hint="eastAsia"/>
          <w:b/>
          <w:bCs/>
        </w:rPr>
        <w:t xml:space="preserve">阶段作用。</w:t>
      </w:r>
      <w:r>
        <w:t xml:space="preserve"> </w:t>
      </w:r>
      <w:r>
        <w:rPr>
          <w:rFonts w:hint="eastAsia"/>
        </w:rPr>
        <w:t xml:space="preserve">在</w:t>
      </w:r>
      <w:r>
        <w:t xml:space="preserve"> GPT-5.4-mini </w:t>
      </w:r>
      <w:r>
        <w:rPr>
          <w:rFonts w:hint="eastAsia"/>
        </w:rPr>
        <w:t xml:space="preserve">上，初始计划与实现的宏平均为</w:t>
      </w:r>
      <w:r>
        <w:t xml:space="preserve"> </w:t>
      </w:r>
      <w:r>
        <w:rPr>
          <w:rFonts w:hint="eastAsia"/>
        </w:rPr>
        <w:t xml:space="preserve">56.8%，加入计划修复后为</w:t>
      </w:r>
      <w:r>
        <w:t xml:space="preserve"> </w:t>
      </w:r>
      <w:r>
        <w:rPr>
          <w:rFonts w:hint="eastAsia"/>
        </w:rPr>
        <w:t xml:space="preserve">62.7%，再加入检索与代码修复后为</w:t>
      </w:r>
      <w:r>
        <w:t xml:space="preserve"> </w:t>
      </w:r>
      <w:r>
        <w:rPr>
          <w:rFonts w:hint="eastAsia"/>
        </w:rPr>
        <w:t xml:space="preserve">65.8%。两阶段分别增加</w:t>
      </w:r>
      <w:r>
        <w:t xml:space="preserve"> 5.9 </w:t>
      </w:r>
      <w:r>
        <w:rPr>
          <w:rFonts w:hint="eastAsia"/>
        </w:rPr>
        <w:t xml:space="preserve">和</w:t>
      </w:r>
      <w:r>
        <w:t xml:space="preserve"> 3.1 </w:t>
      </w:r>
      <w:r>
        <w:rPr>
          <w:rFonts w:hint="eastAsia"/>
        </w:rPr>
        <w:t xml:space="preserve">个百分点[3]。这项累积比较同时改变了可用预算，说明增加阶段后的整体收益，不能作为严格等计算条件下的单因素因果结论。</w:t>
      </w:r>
    </w:p>
    <w:p>
      <w:pPr>
        <w:pStyle w:val="BodyText"/>
      </w:pPr>
      <w:r>
        <w:rPr>
          <w:rFonts w:hint="eastAsia"/>
          <w:b/>
          <w:bCs/>
        </w:rPr>
        <w:t xml:space="preserve">检索查询的作用。</w:t>
      </w:r>
      <w:r>
        <w:t xml:space="preserve"> </w:t>
      </w:r>
      <w:r>
        <w:rPr>
          <w:rFonts w:hint="eastAsia"/>
        </w:rPr>
        <w:t xml:space="preserve">题目查询与最终计划查询的宏平均分别为</w:t>
      </w:r>
      <w:r>
        <w:t xml:space="preserve"> 63.6%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65.8%。在</w:t>
      </w:r>
      <w:r>
        <w:t xml:space="preserve"> 929 </w:t>
      </w:r>
      <w:r>
        <w:rPr>
          <w:rFonts w:hint="eastAsia"/>
        </w:rPr>
        <w:t xml:space="preserve">个配对任务中，41</w:t>
      </w:r>
      <w:r>
        <w:t xml:space="preserve"> </w:t>
      </w:r>
      <w:r>
        <w:rPr>
          <w:rFonts w:hint="eastAsia"/>
        </w:rPr>
        <w:t xml:space="preserve">个任务仅计划查询成功，19</w:t>
      </w:r>
      <w:r>
        <w:t xml:space="preserve"> </w:t>
      </w:r>
      <w:r>
        <w:rPr>
          <w:rFonts w:hint="eastAsia"/>
        </w:rPr>
        <w:t xml:space="preserve">个仅题目查询成功，精确</w:t>
      </w:r>
      <w:r>
        <w:t xml:space="preserve"> McNemar </w:t>
      </w:r>
      <w:r>
        <w:rPr>
          <w:rFonts w:hint="eastAsia"/>
        </w:rPr>
        <w:t xml:space="preserve">检验</w:t>
      </w:r>
      <w:r>
        <w:t xml:space="preserve"> </w:t>
      </w:r>
      <w:r>
        <w:rPr>
          <w:rFonts w:hint="eastAsia"/>
        </w:rPr>
        <w:t xml:space="preserve">p=0.006[3]。该实验较直接地支持把最终计划作为检索表达。计划查询在部分数据集上的</w:t>
      </w:r>
      <w:r>
        <w:t xml:space="preserve"> token </w:t>
      </w:r>
      <w:r>
        <w:rPr>
          <w:rFonts w:hint="eastAsia"/>
        </w:rPr>
        <w:t xml:space="preserve">和调用次数增加，因此不能概括为所有成本指标同时下降。</w:t>
      </w:r>
    </w:p>
    <w:p>
      <w:pPr>
        <w:pStyle w:val="BodyText"/>
      </w:pPr>
      <w:r>
        <w:rPr>
          <w:rFonts w:hint="eastAsia"/>
          <w:b/>
          <w:bCs/>
        </w:rPr>
        <w:t xml:space="preserve">效率与适用条件。</w:t>
      </w:r>
      <w:r>
        <w:t xml:space="preserve"> </w:t>
      </w:r>
      <w:r>
        <w:rPr>
          <w:rFonts w:hint="eastAsia"/>
        </w:rPr>
        <w:t xml:space="preserve">论文分别统计</w:t>
      </w:r>
      <w:r>
        <w:t xml:space="preserve"> </w:t>
      </w:r>
      <w:r>
        <w:rPr>
          <w:rFonts w:hint="eastAsia"/>
        </w:rPr>
        <w:t xml:space="preserve">token、模型调用次数和运行时间。在</w:t>
      </w:r>
      <w:r>
        <w:t xml:space="preserve"> GPT-5.4-mini </w:t>
      </w:r>
      <w:r>
        <w:rPr>
          <w:rFonts w:hint="eastAsia"/>
        </w:rPr>
        <w:t xml:space="preserve">下，本项目方法在四个基准上的调用次数和运行时间均低于所比较基线，但</w:t>
      </w:r>
      <w:r>
        <w:t xml:space="preserve"> LiveCodeBench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5,190，略高于</w:t>
      </w:r>
      <w:r>
        <w:t xml:space="preserve"> DebateCoder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5,021；GPT-5.6-luna</w:t>
      </w:r>
      <w:r>
        <w:t xml:space="preserve"> </w:t>
      </w:r>
      <w:r>
        <w:rPr>
          <w:rFonts w:hint="eastAsia"/>
        </w:rPr>
        <w:t xml:space="preserve">下三个成本指标在四个基准上均为所比较方法中最低[3]。这些结果依赖具体模型、执行配置和任务分布。公开测试覆盖不足时，流程仍可能提前返回隐藏测试失败的代码；因此需要把“公开测试通过”作为停止条件，把隐藏测试正确性作为独立效果指标。</w:t>
      </w:r>
    </w:p>
    <w:bookmarkEnd w:id="23"/>
    <w:bookmarkEnd w:id="24"/>
    <w:bookmarkStart w:id="29" w:name="黑盒置信信号驱动的推理检索传播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4 </w:t>
      </w:r>
      <w:r>
        <w:rPr>
          <w:rFonts w:hint="eastAsia" w:ascii="黑体" w:hAnsi="黑体" w:cs="黑体" w:eastAsia="黑体"/>
          <w:color w:val="000000"/>
        </w:rPr>
        <w:t xml:space="preserve">黑盒置信信号驱动的推理—检索传播</w:t>
      </w:r>
    </w:p>
    <w:bookmarkStart w:id="25" w:name="研究动机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 </w:t>
      </w:r>
      <w:r>
        <w:rPr>
          <w:rFonts w:hint="eastAsia" w:ascii="黑体" w:hAnsi="黑体" w:cs="黑体" w:eastAsia="黑体"/>
          <w:color w:val="000000"/>
        </w:rPr>
        <w:t xml:space="preserve">研究动机</w:t>
      </w:r>
    </w:p>
    <w:p>
      <w:pPr>
        <w:pStyle w:val="FirstParagraph"/>
      </w:pPr>
      <w:r>
        <w:rPr>
          <w:rFonts w:hint="eastAsia"/>
        </w:rPr>
        <w:t xml:space="preserve">代码生成中的接口查询、依赖使用和领域知识处理，都可能涉及模型是否拥有足够信息的问题。始终检索会增加上下文和成本，也可能引入干扰；完全不检索则难以处理参数知识不足的任务。一个可行方向是让模型先表达局部确定程度，再由下游模块据此决定是否获取证据。</w:t>
      </w:r>
    </w:p>
    <w:p>
      <w:pPr>
        <w:pStyle w:val="BodyText"/>
      </w:pPr>
      <w:r>
        <w:rPr>
          <w:rFonts w:hint="eastAsia"/>
        </w:rPr>
        <w:t xml:space="preserve">推理—检索论文在知识问答中研究这一问题[4]。它不依赖模型内部</w:t>
      </w:r>
      <w:r>
        <w:t xml:space="preserve"> logits </w:t>
      </w:r>
      <w:r>
        <w:rPr>
          <w:rFonts w:hint="eastAsia"/>
        </w:rPr>
        <w:t xml:space="preserve">或隐藏状态，而是通过黑盒接口取得结构化的置信信号。研究重点是：自报置信度是否包含对检索收益有用的信息，以及把信号交给检索模块后，能否改善证据分配。对软件任务的启发在于模块间的决策信息传递，而不是直接证明该问答流程能够改善代码生成。</w:t>
      </w:r>
    </w:p>
    <w:bookmarkEnd w:id="25"/>
    <w:bookmarkStart w:id="26" w:name="预先研究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4.2 </w:t>
      </w:r>
      <w:r>
        <w:rPr>
          <w:rFonts w:hint="eastAsia" w:ascii="黑体" w:hAnsi="黑体" w:cs="黑体" w:eastAsia="黑体"/>
          <w:color w:val="000000"/>
        </w:rPr>
        <w:t xml:space="preserve">预先研究</w:t>
      </w:r>
    </w:p>
    <w:p>
      <w:pPr>
        <w:pStyle w:val="FirstParagraph"/>
      </w:pPr>
      <w:r>
        <w:rPr>
          <w:rFonts w:hint="eastAsia"/>
        </w:rPr>
        <w:t xml:space="preserve">论文没有单独组织一套先导实验；本节将其</w:t>
      </w:r>
      <w:r>
        <w:t xml:space="preserve"> RQ1 </w:t>
      </w:r>
      <w:r>
        <w:rPr>
          <w:rFonts w:hint="eastAsia"/>
        </w:rPr>
        <w:t xml:space="preserve">的信号诊断作为方法所依赖的前提分析。需要分别检查两种关系：置信度能否排序当前回答质量，以及不确定性是否与检索带来的增益有关。二者相关但不等价，因为一个模型没有把握的问题也可能无法通过当前检索库解决。</w:t>
      </w:r>
    </w:p>
    <w:p>
      <w:pPr>
        <w:pStyle w:val="BodyText"/>
      </w:pPr>
      <w:r>
        <w:rPr>
          <w:rFonts w:hint="eastAsia"/>
        </w:rPr>
        <w:t xml:space="preserve">设模型自报置信度为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，不确定性为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；同一问题检索后的</w:t>
      </w:r>
      <w:r>
        <w:t xml:space="preserve"> F1 </w:t>
      </w:r>
      <w:r>
        <w:rPr>
          <w:rFonts w:hint="eastAsia"/>
        </w:rPr>
        <w:t xml:space="preserve">与不检索</w:t>
      </w:r>
      <w:r>
        <w:t xml:space="preserve"> F1 </w:t>
      </w:r>
      <w:r>
        <w:rPr>
          <w:rFonts w:hint="eastAsia"/>
        </w:rPr>
        <w:t xml:space="preserve">之差为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t>1</m:t>
        </m:r>
      </m:oMath>
      <w:r>
        <w:rPr>
          <w:rFonts w:hint="eastAsia"/>
        </w:rPr>
        <w:t xml:space="preserve">。在</w:t>
      </w:r>
      <w:r>
        <w:t xml:space="preserve"> 8,837 </w:t>
      </w:r>
      <w:r>
        <w:rPr>
          <w:rFonts w:hint="eastAsia"/>
        </w:rPr>
        <w:t xml:space="preserve">个具有有效置信度的样本上，论文报告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与检索增益的</w:t>
      </w:r>
      <w:r>
        <w:t xml:space="preserve"> Spearman </w:t>
      </w:r>
      <w:r>
        <w:rPr>
          <w:rFonts w:hint="eastAsia"/>
        </w:rPr>
        <w:t xml:space="preserve">相关为</w:t>
      </w:r>
      <w:r>
        <w:t xml:space="preserve"> </w:t>
      </w:r>
      <w:r>
        <w:rPr>
          <w:rFonts w:hint="eastAsia"/>
        </w:rPr>
        <w:t xml:space="preserve">0.154，95%</w:t>
      </w:r>
      <w:r>
        <w:t xml:space="preserve"> </w:t>
      </w:r>
      <w:r>
        <w:rPr>
          <w:rFonts w:hint="eastAsia"/>
        </w:rPr>
        <w:t xml:space="preserve">置信区间为</w:t>
      </w:r>
      <w:r>
        <w:t xml:space="preserve"> </w:t>
      </w:r>
      <w:r>
        <w:rPr>
          <w:rFonts w:hint="eastAsia"/>
        </w:rPr>
        <w:t xml:space="preserve">[0.131,0.177]；将“检索有益”作为二元目标时，AUROC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0.628，AUPRC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0.447，正例比例为</w:t>
      </w:r>
      <w:r>
        <w:t xml:space="preserve"> </w:t>
      </w:r>
      <w:r>
        <w:rPr>
          <w:rFonts w:hint="eastAsia"/>
        </w:rPr>
        <w:t xml:space="preserve">0.354[4]。这表明信号具有一定排序能力，但区分能力并不强。</w:t>
      </w:r>
    </w:p>
    <w:p>
      <w:pPr>
        <w:pStyle w:val="BodyText"/>
      </w:pPr>
      <w:r>
        <w:rPr>
          <w:rFonts w:hint="eastAsia"/>
        </w:rPr>
        <w:t xml:space="preserve">三个模型族的置信度与最终回答</w:t>
      </w:r>
      <w:r>
        <w:t xml:space="preserve"> F1 </w:t>
      </w:r>
      <w:r>
        <w:rPr>
          <w:rFonts w:hint="eastAsia"/>
        </w:rPr>
        <w:t xml:space="preserve">的</w:t>
      </w:r>
      <w:r>
        <w:t xml:space="preserve"> Spearman </w:t>
      </w:r>
      <w:r>
        <w:rPr>
          <w:rFonts w:hint="eastAsia"/>
        </w:rPr>
        <w:t xml:space="preserve">相关约为</w:t>
      </w:r>
      <w:r>
        <w:t xml:space="preserve"> </w:t>
      </w:r>
      <w:r>
        <w:rPr>
          <w:rFonts w:hint="eastAsia"/>
        </w:rPr>
        <w:t xml:space="preserve">0.276、0.300、0.309；五分箱校准误差分别为</w:t>
      </w:r>
      <w:r>
        <w:t xml:space="preserve"> </w:t>
      </w:r>
      <w:r>
        <w:rPr>
          <w:rFonts w:hint="eastAsia"/>
        </w:rPr>
        <w:t xml:space="preserve">0.487、0.528、0.426[4]。因此，自报置信度不能直接解释为正确概率。研究采用按模型在验证集选阈值的方式使用这一信号，而不是假定同一数值在所有模型上具有同样含义。</w:t>
      </w:r>
    </w:p>
    <w:bookmarkEnd w:id="26"/>
    <w:bookmarkStart w:id="27" w:name="研究方法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4.3 </w:t>
      </w:r>
      <w:r>
        <w:rPr>
          <w:rFonts w:hint="eastAsia" w:ascii="黑体" w:hAnsi="黑体" w:cs="黑体" w:eastAsia="黑体"/>
          <w:color w:val="000000"/>
        </w:rPr>
        <w:t xml:space="preserve">研究方法</w:t>
      </w:r>
    </w:p>
    <w:p>
      <w:pPr>
        <w:pStyle w:val="FirstParagraph"/>
      </w:pPr>
      <w:r>
        <w:rPr>
          <w:rFonts w:hint="eastAsia"/>
          <w:b/>
          <w:bCs/>
        </w:rPr>
        <w:t xml:space="preserve">结构化黑盒探测。</w:t>
      </w:r>
      <w:r>
        <w:t xml:space="preserve"> </w:t>
      </w:r>
      <w:r>
        <w:rPr>
          <w:rFonts w:hint="eastAsia"/>
        </w:rPr>
        <w:t xml:space="preserve">对问题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先进行一次探测，要求返回临时答案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、置信度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、建议动作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和不超过两句话的状态摘要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。摘要是面向接口的简短说明，不要求获取模型隐藏推理。实际路由只使用置信度；建议动作保留为记录，不代替阈值规则。</w:t>
      </w:r>
    </w:p>
    <w:p>
      <w:pPr>
        <w:pStyle w:val="BodyText"/>
      </w:pPr>
      <w:r>
        <w:rPr>
          <w:rFonts w:hint="eastAsia"/>
          <w:b/>
          <w:bCs/>
        </w:rPr>
        <w:t xml:space="preserve">将置信信号传给检索决策。</w:t>
      </w:r>
      <w:r>
        <w:t xml:space="preserve"> </w:t>
      </w:r>
      <w:r>
        <w:rPr>
          <w:rFonts w:hint="eastAsia"/>
        </w:rPr>
        <w:t xml:space="preserve">设模型对应阈值为</w:t>
      </w:r>
      <w:r>
        <w:t xml:space="preserve"> </w:t>
      </w:r>
      <m:oMath>
        <m:sSub>
          <m:e>
            <m:r>
              <m:t>τ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t>τ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时，直接返回探测得到的临时答案；当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以原始问题为查询，检索固定语料库中的五个片段，再调用模型形成最终答案。置信度缺失或无法解析时保守地进入检索分支。该流程只有一次路由和至多一次检索后的回答，不是多轮检索，也不训练复杂的策略网络。</w:t>
      </w:r>
    </w:p>
    <w:p>
      <w:pPr>
        <w:pStyle w:val="BodyText"/>
      </w:pPr>
      <w:r>
        <w:rPr>
          <w:rFonts w:hint="eastAsia"/>
          <w:b/>
          <w:bCs/>
        </w:rPr>
        <w:t xml:space="preserve">阈值选择与知识环境。</w:t>
      </w:r>
      <w:r>
        <w:t xml:space="preserve"> </w:t>
      </w:r>
      <w:r>
        <w:rPr>
          <w:rFonts w:hint="eastAsia"/>
        </w:rPr>
        <w:t xml:space="preserve">阈值在独立验证数据上按回答</w:t>
      </w:r>
      <w:r>
        <w:t xml:space="preserve"> F1 </w:t>
      </w:r>
      <w:r>
        <w:rPr>
          <w:rFonts w:hint="eastAsia"/>
        </w:rPr>
        <w:t xml:space="preserve">选择，并在正式测试前冻结。论文使用的网关模型标识及阈值为：OpenAI</w:t>
      </w:r>
      <w:r>
        <w:t xml:space="preserve"> </w:t>
      </w:r>
      <w:r>
        <w:rPr>
          <w:rFonts w:hint="eastAsia"/>
        </w:rPr>
        <w:t xml:space="preserve">的</w:t>
      </w:r>
      <w:r>
        <w:t xml:space="preserve"> gpt-5.5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1.0，Gemini</w:t>
      </w:r>
      <w:r>
        <w:t xml:space="preserve"> </w:t>
      </w:r>
      <w:r>
        <w:rPr>
          <w:rFonts w:hint="eastAsia"/>
        </w:rPr>
        <w:t xml:space="preserve">的</w:t>
      </w:r>
      <w:r>
        <w:t xml:space="preserve"> gemini-3.5-flash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1.0，Claude</w:t>
      </w:r>
      <w:r>
        <w:t xml:space="preserve"> </w:t>
      </w:r>
      <w:r>
        <w:rPr>
          <w:rFonts w:hint="eastAsia"/>
        </w:rPr>
        <w:t xml:space="preserve">的</w:t>
      </w:r>
      <w:r>
        <w:t xml:space="preserve"> claude-sonnet-5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0.9[4]。这些是论文实验网关标识，不据此推断底层模型版本。即使两个模型阈值相同，实际检索比例也可能不同。</w:t>
      </w:r>
    </w:p>
    <w:p>
      <w:pPr>
        <w:pStyle w:val="BodyText"/>
      </w:pPr>
      <w:r>
        <w:rPr>
          <w:rFonts w:hint="eastAsia"/>
        </w:rPr>
        <w:t xml:space="preserve">检索使用从各基准处理后的开发集、测试集上下文构建的固定本地语料，按标题和段落去重，以</w:t>
      </w:r>
      <w:r>
        <w:t xml:space="preserve"> TF-IDF </w:t>
      </w:r>
      <w:r>
        <w:rPr>
          <w:rFonts w:hint="eastAsia"/>
        </w:rPr>
        <w:t xml:space="preserve">单词及双词特征检索前五条。该设置控制知识环境，便于比较路由，不等价于生产环境中的实时开放网络检索。问题参考答案只用于评价。</w:t>
      </w:r>
    </w:p>
    <w:p>
      <w:pPr>
        <w:pStyle w:val="BodyText"/>
      </w:pPr>
      <w:r>
        <w:rPr>
          <w:rFonts w:hint="eastAsia"/>
          <w:b/>
          <w:bCs/>
        </w:rPr>
        <w:t xml:space="preserve">从信号到动作的解释。</w:t>
      </w:r>
      <w:r>
        <w:t xml:space="preserve"> </w:t>
      </w:r>
      <w:r>
        <w:rPr>
          <w:rFonts w:hint="eastAsia"/>
        </w:rPr>
        <w:t xml:space="preserve">若把检索的预期收益记为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∣</m:t>
        </m:r>
        <m:r>
          <m:t>q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、成本记为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，合理决策应考虑收益是否超过</w:t>
      </w:r>
      <w:r>
        <w:t xml:space="preserve"> </w:t>
      </w:r>
      <m:oMath>
        <m:r>
          <m:t>λ</m:t>
        </m:r>
        <m:r>
          <m:t>C</m:t>
        </m:r>
      </m:oMath>
      <w:r>
        <w:rPr>
          <w:rFonts w:hint="eastAsia"/>
        </w:rPr>
        <w:t xml:space="preserve">。论文用置信度阈值近似这一选择，而没有证明自报置信度已经等于收益或成本的最优估计。所谓传播，具体表现为推理模块输出的一个可观测数值被检索模块消费，并改变其行动。</w:t>
      </w:r>
    </w:p>
    <w:bookmarkEnd w:id="27"/>
    <w:bookmarkStart w:id="28" w:name="实验验证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4.4 </w:t>
      </w:r>
      <w:r>
        <w:rPr>
          <w:rFonts w:hint="eastAsia" w:ascii="黑体" w:hAnsi="黑体" w:cs="黑体" w:eastAsia="黑体"/>
          <w:color w:val="000000"/>
        </w:rPr>
        <w:t xml:space="preserve">实验验证</w:t>
      </w:r>
    </w:p>
    <w:p>
      <w:pPr>
        <w:pStyle w:val="FirstParagraph"/>
      </w:pPr>
      <w:r>
        <w:rPr>
          <w:rFonts w:hint="eastAsia"/>
          <w:b/>
          <w:bCs/>
        </w:rPr>
        <w:t xml:space="preserve">数据与对照。</w:t>
      </w:r>
      <w:r>
        <w:t xml:space="preserve"> </w:t>
      </w:r>
      <w:r>
        <w:rPr>
          <w:rFonts w:hint="eastAsia"/>
        </w:rPr>
        <w:t xml:space="preserve">实验包含</w:t>
      </w:r>
      <w:r>
        <w:t xml:space="preserve"> NQ、HotpotQA、2WikiMultihopQA、SQuAD、TriviaQA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MuSiQue，每个基准</w:t>
      </w:r>
      <w:r>
        <w:t xml:space="preserve"> 500 </w:t>
      </w:r>
      <w:r>
        <w:rPr>
          <w:rFonts w:hint="eastAsia"/>
        </w:rPr>
        <w:t xml:space="preserve">个问题，共</w:t>
      </w:r>
      <w:r>
        <w:t xml:space="preserve"> 3,000 </w:t>
      </w:r>
      <w:r>
        <w:rPr>
          <w:rFonts w:hint="eastAsia"/>
        </w:rPr>
        <w:t xml:space="preserve">题；配合三个模型，形成</w:t>
      </w:r>
      <w:r>
        <w:t xml:space="preserve"> 9,000 </w:t>
      </w:r>
      <w:r>
        <w:rPr>
          <w:rFonts w:hint="eastAsia"/>
        </w:rPr>
        <w:t xml:space="preserve">个问题—模型配对。对每个配对运行不检索、始终检索和置信度路由，共</w:t>
      </w:r>
      <w:r>
        <w:t xml:space="preserve"> 27,000 </w:t>
      </w:r>
      <w:r>
        <w:rPr>
          <w:rFonts w:hint="eastAsia"/>
        </w:rPr>
        <w:t xml:space="preserve">条主要策略记录[4]。不检索和始终检索通常各有一次回答调用，置信度路由具有探测调用，检索分支还增加一次回答调用。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策略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F1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token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平均检索片段数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不检索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0.401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529.1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始终检索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0.467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1,201.5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4.966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置信度路由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0.483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1,539.8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3.952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相对始终检索，置信度路由平均</w:t>
      </w:r>
      <w:r>
        <w:t xml:space="preserve"> F1 </w:t>
      </w:r>
      <w:r>
        <w:rPr>
          <w:rFonts w:hint="eastAsia"/>
        </w:rPr>
        <w:t xml:space="preserve">增加</w:t>
      </w:r>
      <w:r>
        <w:t xml:space="preserve"> </w:t>
      </w:r>
      <w:r>
        <w:rPr>
          <w:rFonts w:hint="eastAsia"/>
        </w:rPr>
        <w:t xml:space="preserve">0.016，检索片段减少约</w:t>
      </w:r>
      <w:r>
        <w:t xml:space="preserve"> </w:t>
      </w:r>
      <w:r>
        <w:rPr>
          <w:rFonts w:hint="eastAsia"/>
        </w:rPr>
        <w:t xml:space="preserve">20.4%，但</w:t>
      </w:r>
      <w:r>
        <w:t xml:space="preserve"> token </w:t>
      </w:r>
      <w:r>
        <w:rPr>
          <w:rFonts w:hint="eastAsia"/>
        </w:rPr>
        <w:t xml:space="preserve">增加约</w:t>
      </w:r>
      <w:r>
        <w:t xml:space="preserve"> </w:t>
      </w:r>
      <w:r>
        <w:rPr>
          <w:rFonts w:hint="eastAsia"/>
        </w:rPr>
        <w:t xml:space="preserve">28.2%。因此，论文支持的是较有效的检索分配与质量改善，而不是端到端</w:t>
      </w:r>
      <w:r>
        <w:t xml:space="preserve"> token </w:t>
      </w:r>
      <w:r>
        <w:rPr>
          <w:rFonts w:hint="eastAsia"/>
        </w:rPr>
        <w:t xml:space="preserve">节省。原因之一是路由本身需要额外探测，减少检索次数不必然抵消探测开销。</w:t>
      </w:r>
    </w:p>
    <w:p>
      <w:pPr>
        <w:pStyle w:val="BodyText"/>
      </w:pPr>
      <w:r>
        <w:rPr>
          <w:rFonts w:hint="eastAsia"/>
          <w:b/>
          <w:bCs/>
        </w:rPr>
        <w:t xml:space="preserve">相同路由数量下的分配价值。</w:t>
      </w:r>
      <w:r>
        <w:t xml:space="preserve"> </w:t>
      </w:r>
      <w:r>
        <w:rPr>
          <w:rFonts w:hint="eastAsia"/>
        </w:rPr>
        <w:t xml:space="preserve">论文另构造事后随机分配对照：在每个数据集—模型单元内选择与置信度路由完全相同数量的问题进行检索，但按稳定哈希选择问题。该对照的平均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0.459，置信度路由为</w:t>
      </w:r>
      <w:r>
        <w:t xml:space="preserve"> </w:t>
      </w:r>
      <w:r>
        <w:rPr>
          <w:rFonts w:hint="eastAsia"/>
        </w:rPr>
        <w:t xml:space="preserve">0.483，且后者在十八个单元中的十七个较高[4]。这一结果支持信号具有“选择哪些问题”的价值。对照复用静态策略输出，没有独立执行相同的探测与回答调用链，所以并非严格等调用路径的随机路由实验。</w:t>
      </w:r>
    </w:p>
    <w:p>
      <w:pPr>
        <w:pStyle w:val="BodyText"/>
      </w:pPr>
      <w:r>
        <w:rPr>
          <w:rFonts w:hint="eastAsia"/>
          <w:b/>
          <w:bCs/>
        </w:rPr>
        <w:t xml:space="preserve">模型差异与统计证据。</w:t>
      </w:r>
      <w:r>
        <w:t xml:space="preserve"> </w:t>
      </w:r>
      <w:r>
        <w:rPr>
          <w:rFonts w:hint="eastAsia"/>
        </w:rPr>
        <w:t xml:space="preserve">正式运行的平均检索比例分别为</w:t>
      </w:r>
      <w:r>
        <w:t xml:space="preserve"> OpenAI 98.5%、Gemini 62.8%、Claude </w:t>
      </w:r>
      <w:r>
        <w:rPr>
          <w:rFonts w:hint="eastAsia"/>
        </w:rPr>
        <w:t xml:space="preserve">75.9%。前者接近始终检索，说明阈值的作用取决于置信度分布，不能只比较阈值大小。在联合</w:t>
      </w:r>
      <w:r>
        <w:t xml:space="preserve"> Holm </w:t>
      </w:r>
      <w:r>
        <w:rPr>
          <w:rFonts w:hint="eastAsia"/>
        </w:rPr>
        <w:t xml:space="preserve">校正的</w:t>
      </w:r>
      <w:r>
        <w:t xml:space="preserve"> 54 </w:t>
      </w:r>
      <w:r>
        <w:rPr>
          <w:rFonts w:hint="eastAsia"/>
        </w:rPr>
        <w:t xml:space="preserve">项配对检验中，置信度路由与始终检索只有三个单元达到显著差异，其中两个支持置信度路由，一个支持始终检索[4]。平均增益不应扩展成所有数据集和模型均有显著优势。</w:t>
      </w:r>
    </w:p>
    <w:p>
      <w:pPr>
        <w:pStyle w:val="BodyText"/>
      </w:pPr>
      <w:r>
        <w:rPr>
          <w:rFonts w:hint="eastAsia"/>
          <w:b/>
          <w:bCs/>
        </w:rPr>
        <w:t xml:space="preserve">失败处理与适用范围。</w:t>
      </w:r>
      <w:r>
        <w:t xml:space="preserve"> </w:t>
      </w:r>
      <w:r>
        <w:t xml:space="preserve">152 </w:t>
      </w:r>
      <w:r>
        <w:rPr>
          <w:rFonts w:hint="eastAsia"/>
        </w:rPr>
        <w:t xml:space="preserve">条</w:t>
      </w:r>
      <w:r>
        <w:t xml:space="preserve"> API </w:t>
      </w:r>
      <w:r>
        <w:rPr>
          <w:rFonts w:hint="eastAsia"/>
        </w:rPr>
        <w:t xml:space="preserve">失败和</w:t>
      </w:r>
      <w:r>
        <w:t xml:space="preserve"> 232 </w:t>
      </w:r>
      <w:r>
        <w:rPr>
          <w:rFonts w:hint="eastAsia"/>
        </w:rPr>
        <w:t xml:space="preserve">条结构化解析失败保留在分母中，答案质量按零处理；只在成功记录上分析时，主要策略排序仍保持一致[4]。实验提供了黑盒信号参与检索决策的机制证据，但语料是固定基准上下文、路由是单次阈值，效果不能直接外推到动态软件文档、复杂工具链或真实生产调用成本。</w:t>
      </w:r>
    </w:p>
    <w:bookmarkEnd w:id="28"/>
    <w:bookmarkEnd w:id="29"/>
    <w:bookmarkStart w:id="34" w:name="方法应用与组合方式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5 </w:t>
      </w:r>
      <w:r>
        <w:rPr>
          <w:rFonts w:hint="eastAsia" w:ascii="黑体" w:hAnsi="黑体" w:cs="黑体" w:eastAsia="黑体"/>
          <w:color w:val="000000"/>
        </w:rPr>
        <w:t xml:space="preserve">方法应用与组合方式</w:t>
      </w:r>
    </w:p>
    <w:bookmarkStart w:id="30" w:name="面向需求输入的应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5.1 </w:t>
      </w:r>
      <w:r>
        <w:rPr>
          <w:rFonts w:hint="eastAsia" w:ascii="黑体" w:hAnsi="黑体" w:cs="黑体" w:eastAsia="黑体"/>
          <w:color w:val="000000"/>
        </w:rPr>
        <w:t xml:space="preserve">面向需求输入的应用</w:t>
      </w:r>
    </w:p>
    <w:p>
      <w:pPr>
        <w:pStyle w:val="FirstParagraph"/>
      </w:pPr>
      <w:r>
        <w:rPr>
          <w:rFonts w:hint="eastAsia"/>
        </w:rPr>
        <w:t xml:space="preserve">需求预测适合放在代码生成入口：读取需求后输出高不确定性判断，将需要补充的任务转入澄清，再把原需求和确认信息一起交给生成器。分类器对后续生成流程的改动较小，论文已在直接生成和多智能体流程中验证这种接入方式，并给出小规模项目实验[2]。</w:t>
      </w:r>
    </w:p>
    <w:p>
      <w:pPr>
        <w:pStyle w:val="BodyText"/>
      </w:pPr>
      <w:r>
        <w:rPr>
          <w:rFonts w:hint="eastAsia"/>
        </w:rPr>
        <w:t xml:space="preserve">例如，需求要求“输出唯一记录”，但未说明是去重还是保留仅出现一次的记录。系统可先识别风险，再询问具体含义和重复判定字段；用户确认后，将回答作为附加约束保留。此例说明应用过程，不是论文测例。原文无法支持的条件应由用户或授权上下文提供，分类器低分也不能替代需求完整性检查。</w:t>
      </w:r>
    </w:p>
    <w:p>
      <w:pPr>
        <w:pStyle w:val="BodyText"/>
      </w:pPr>
      <w:r>
        <w:rPr>
          <w:rFonts w:hint="eastAsia"/>
        </w:rPr>
        <w:t xml:space="preserve">迁移到新领域时，优先检查探测标签和目标生成器是否仍匹配，并按目标数据调整阈值。直接沿用原模型分数作为通用需求质量尺度，可能遗漏新接口、新领域术语或复杂多文件需求中的信息缺口。</w:t>
      </w:r>
    </w:p>
    <w:bookmarkEnd w:id="30"/>
    <w:bookmarkStart w:id="31" w:name="面向规划与测试反馈的应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5.2 </w:t>
      </w:r>
      <w:r>
        <w:rPr>
          <w:rFonts w:hint="eastAsia" w:ascii="黑体" w:hAnsi="黑体" w:cs="黑体" w:eastAsia="黑体"/>
          <w:color w:val="000000"/>
        </w:rPr>
        <w:t xml:space="preserve">面向规划与测试反馈的应用</w:t>
      </w:r>
    </w:p>
    <w:p>
      <w:pPr>
        <w:pStyle w:val="FirstParagraph"/>
      </w:pPr>
      <w:r>
        <w:rPr>
          <w:rFonts w:hint="eastAsia"/>
        </w:rPr>
        <w:t xml:space="preserve">对已有公开测试的任务，可先生成测试约束下的计划，在实现前检查算法、目标覆盖和清晰度，执行后按预算进行计划修复和代码修复。可行性较低时，评分理由能帮助定位边界与逻辑；公开测试失败时，分阶段流程进一步决定改变计划还是保留计划并修复实现[3]。</w:t>
      </w:r>
    </w:p>
    <w:p>
      <w:pPr>
        <w:pStyle w:val="BodyText"/>
      </w:pPr>
      <w:r>
        <w:rPr>
          <w:rFonts w:hint="eastAsia"/>
        </w:rPr>
        <w:t xml:space="preserve">例如，需求已经明确“保持原始顺序并去重”，计划却提出先排序。相关性检查应指出顺序约束被破坏，可行性检查结合可见示例确认问题。修复计划后再生成代码，避免持续修改一个由错误方案支配的实现。若计划已经稳定而代码仍存在索引或类型错误，则进入参考案例辅助的代码修复。</w:t>
      </w:r>
    </w:p>
    <w:p>
      <w:pPr>
        <w:pStyle w:val="BodyText"/>
      </w:pPr>
      <w:r>
        <w:rPr>
          <w:rFonts w:hint="eastAsia"/>
        </w:rPr>
        <w:t xml:space="preserve">应用中要明确测试的可见性，保存计划、代码与失败反馈的对应版本，并分别统计公开测试停止率和最终隐藏测试正确率。这样可以解释一次修复到底改变了哪个决策对象，也能识别公开测试覆盖不足导致的提前停止。</w:t>
      </w:r>
    </w:p>
    <w:bookmarkEnd w:id="31"/>
    <w:bookmarkStart w:id="32" w:name="面向软件知识获取的应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5.3 </w:t>
      </w:r>
      <w:r>
        <w:rPr>
          <w:rFonts w:hint="eastAsia" w:ascii="黑体" w:hAnsi="黑体" w:cs="黑体" w:eastAsia="黑体"/>
          <w:color w:val="000000"/>
        </w:rPr>
        <w:t xml:space="preserve">面向软件知识获取的应用</w:t>
      </w:r>
    </w:p>
    <w:p>
      <w:pPr>
        <w:pStyle w:val="FirstParagraph"/>
      </w:pPr>
      <w:r>
        <w:rPr>
          <w:rFonts w:hint="eastAsia"/>
        </w:rPr>
        <w:t xml:space="preserve">置信度路由可作为软件接口、依赖用法或领域知识查询的候选机制：模型先产生临时回答和置信信号，信号不足时查询固定版本的授权文档，再依据检索证据回答。这里的适用前提是检索库包含相关信息，并且探测、检索及回答成本已经被记录。</w:t>
      </w:r>
    </w:p>
    <w:p>
      <w:pPr>
        <w:pStyle w:val="BodyText"/>
      </w:pPr>
      <w:r>
        <w:rPr>
          <w:rFonts w:hint="eastAsia"/>
        </w:rPr>
        <w:t xml:space="preserve">例如，生成代码需要确认某库在特定版本下的异常类型，临时回答置信度低于目标模型阈值时，可查询该版本文档。返回证据再用于修订计划或实现。这个软件场景是对第四章机制的应用设计；已有论文验证的是问答任务，因此仍需以接口选择是否正确、代码测试结果和实际调用成本评价迁移效果。</w:t>
      </w:r>
    </w:p>
    <w:p>
      <w:pPr>
        <w:pStyle w:val="BodyText"/>
      </w:pPr>
      <w:r>
        <w:rPr>
          <w:rFonts w:hint="eastAsia"/>
        </w:rPr>
        <w:t xml:space="preserve">不能仅凭检索次数减少宣布成本降低。若探测调用较昂贵，路由的总</w:t>
      </w:r>
      <w:r>
        <w:t xml:space="preserve"> token </w:t>
      </w:r>
      <w:r>
        <w:rPr>
          <w:rFonts w:hint="eastAsia"/>
        </w:rPr>
        <w:t xml:space="preserve">或延迟可能上升；若模型对大多数问题都给出极端置信值，同一阈值也可能几乎没有选择作用。应用时应保留不检索、始终检索及相同执行路径的随机路由对照，以判断新增信号是否有实际价值。</w:t>
      </w:r>
    </w:p>
    <w:bookmarkEnd w:id="32"/>
    <w:bookmarkStart w:id="33" w:name="三种方法的衔接与应用评价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5.4 </w:t>
      </w:r>
      <w:r>
        <w:rPr>
          <w:rFonts w:hint="eastAsia" w:ascii="黑体" w:hAnsi="黑体" w:cs="黑体" w:eastAsia="黑体"/>
          <w:color w:val="000000"/>
        </w:rPr>
        <w:t xml:space="preserve">三种方法的衔接与应用评价</w:t>
      </w:r>
    </w:p>
    <w:p>
      <w:pPr>
        <w:pStyle w:val="FirstParagraph"/>
      </w:pPr>
      <w:r>
        <w:rPr>
          <w:rFonts w:hint="eastAsia"/>
        </w:rPr>
        <w:t xml:space="preserve">三种方法可以按决策对象衔接：需求入口先判断是否补充约束；明确需求后生成并检查计划；遇到需要外部依据的知识问题时，再由专门的查询步骤决定是否检索；代码执行后按公开反馈进入相应修复阶段。需求澄清、计划修改和知识检索分别保存结果，避免下游无法识别哪些条件来自原始需求、用户补充或文档证据。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796"/>
        <w:gridCol w:w="2146"/>
        <w:gridCol w:w="2539"/>
        <w:gridCol w:w="2879"/>
      </w:tblGrid>
      <w:tr>
        <w:trPr>
          <w:tblHeader w:val="on"/>
        </w:trPr>
        <w:tc>
          <w:tcPr>
            <w:tcW w:w="179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应用位置</w:t>
            </w:r>
          </w:p>
        </w:tc>
        <w:tc>
          <w:tcPr>
            <w:tcW w:w="214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使用的方法</w:t>
            </w:r>
          </w:p>
        </w:tc>
        <w:tc>
          <w:tcPr>
            <w:tcW w:w="253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直接产物</w:t>
            </w:r>
          </w:p>
        </w:tc>
        <w:tc>
          <w:tcPr>
            <w:tcW w:w="287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应重点检查的结果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代码生成前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需求预测与选择性澄清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原需求及有来源的补充条件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分类漏检、回答依据、代码质量变化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计划生成及执行反馈后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计划感知与分阶段优化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计划版本、代码版本及修复动作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公开与隐藏测试结果、任务内方差、预算使用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需要外部知识时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置信信号驱动检索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临时答案、路由结果、证据与最终回答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证据相关性、答案或接口正确性、总成本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完整流程评价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按上述位置组合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同任务的完整决策记录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相对单方法的增量收益及新增开销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组合效果应在同一批任务上分别比较直接生成、仅需求处理、仅计划优化及二者组合；加入知识路由时，还应采用相同文档版本和明确的成本统计。需求、计划和知识信号的单独有效性，不保证叠加后一定获得收益：澄清可能已经解决后续计划缺口，重复检查会增加开销；检索也可能引入与任务不相关的信息。</w:t>
      </w:r>
    </w:p>
    <w:p>
      <w:pPr>
        <w:pStyle w:val="BodyText"/>
      </w:pPr>
      <w:r>
        <w:rPr>
          <w:rFonts w:hint="eastAsia"/>
        </w:rPr>
        <w:t xml:space="preserve">三篇论文为各环节提供了不同强度和范围的依据。本项目可以据此组织可解释的主动感知流程，但联合应用应以实际任务上的质量、稳定性与成本结果评价，保留每一步所使用的信息及动作理由。</w:t>
      </w:r>
    </w:p>
    <w:bookmarkEnd w:id="33"/>
    <w:bookmarkEnd w:id="34"/>
    <w:bookmarkStart w:id="35" w:name="参考文献"/>
    <w:p>
      <w:pPr>
        <w:pStyle w:val="Heading1"/>
      </w:pPr>
      <w:r>
        <w:rPr>
          <w:rFonts w:hint="eastAsia" w:ascii="黑体" w:hAnsi="黑体" w:cs="黑体" w:eastAsia="黑体"/>
          <w:color w:val="000000"/>
        </w:rPr>
        <w:t xml:space="preserve">参考文献</w:t>
      </w:r>
    </w:p>
    <w:p>
      <w:pPr>
        <w:pStyle w:val="FirstParagraph"/>
      </w:pPr>
      <w:r>
        <w:t xml:space="preserve">[1] Islam M A, Ali M E, Parvez M R. MapCoder: Multi-Agent Code Generation for Competitive Problem Solving. Proceedings of ACL, 2024: 4912–4944.</w:t>
      </w:r>
    </w:p>
    <w:p>
      <w:pPr>
        <w:pStyle w:val="BodyText"/>
      </w:pPr>
      <w:r>
        <w:t xml:space="preserve">[2] Anonymous. Towards Pre-generation Requirement Uncertainty Assessment for Code Generation. </w:t>
      </w:r>
      <w:r>
        <w:rPr>
          <w:rFonts w:hint="eastAsia"/>
        </w:rPr>
        <w:t xml:space="preserve">论文稿，本文依据所提供版本。</w:t>
      </w:r>
    </w:p>
    <w:p>
      <w:pPr>
        <w:pStyle w:val="BodyText"/>
      </w:pPr>
      <w:r>
        <w:t xml:space="preserve">[3] Anonymous. What Makes a Good Plan for Effective Code Generation? </w:t>
      </w:r>
      <w:r>
        <w:rPr>
          <w:rFonts w:hint="eastAsia"/>
        </w:rPr>
        <w:t xml:space="preserve">论文稿，本文依据所提供版本。</w:t>
      </w:r>
    </w:p>
    <w:p>
      <w:pPr>
        <w:pStyle w:val="BodyText"/>
      </w:pPr>
      <w:r>
        <w:t xml:space="preserve">[4] Anonymous. Beyond Self-Knowledge: Propagating Uncertainty Across Reasoning and Retrieval in LLMs. </w:t>
      </w:r>
      <w:r>
        <w:rPr>
          <w:rFonts w:hint="eastAsia"/>
        </w:rPr>
        <w:t xml:space="preserve">论文稿，本文依据所提供版本。</w:t>
      </w:r>
    </w:p>
    <w:p>
      <w:pPr>
        <w:pStyle w:val="BodyText"/>
      </w:pPr>
      <w:r>
        <w:t xml:space="preserve">[5] Li H S, Mesgar M, Martins A, Gurevych I. Python Code Generation by Asking Clarification Questions. Proceedings of ACL, 2023: 14287–14306.</w:t>
      </w:r>
    </w:p>
    <w:p>
      <w:pPr>
        <w:pStyle w:val="BodyText"/>
      </w:pPr>
      <w:r>
        <w:t xml:space="preserve">[6] Mu F, Shi L, Wang S, et al. ClarifyGPT: A Framework for Enhancing LLM-Based Code Generation via Requirements Clarification. Proceedings of the ACM on Software Engineering, 2024, 1(FSE): Article 103, 2332–2354.</w:t>
      </w:r>
    </w:p>
    <w:p>
      <w:pPr>
        <w:pStyle w:val="BodyText"/>
      </w:pPr>
      <w:r>
        <w:t xml:space="preserve">[7] Jiang X, Dong Y, Wang L, et al. Self-Planning Code Generation with Large Language Models. ACM Transactions on Software Engineering and Methodology, 2024, 33(7): 1–30.</w:t>
      </w:r>
    </w:p>
    <w:p>
      <w:pPr>
        <w:pStyle w:val="BodyText"/>
      </w:pPr>
      <w:r>
        <w:t xml:space="preserve">[8] Ren S, Guo D, Lu S, et al. CodeBLEU: a Method for Automatic Evaluation of Code Synthesis. 2020, arXiv:2009.10297.</w:t>
      </w:r>
    </w:p>
    <w:p>
      <w:pPr>
        <w:pStyle w:val="BodyText"/>
      </w:pPr>
      <w:r>
        <w:t xml:space="preserve">[9] Trivedi H, Balasubramanian N, Khot T, Sabharwal A. Interleaving Retrieval with Chain-of-Thought Reasoning for Knowledge-Intensive Multi-Step Questions. Proceedings of ACL, 2023: 10014–10037.</w:t>
      </w:r>
    </w:p>
    <w:bookmarkEnd w:id="35"/>
    <w:bookmarkEnd w:id="36"/>
    <w:sectPr>
      <w:footerReference w:type="default" r:id="rId9"/>
      <w:footnotePr>
        <w:numRestart w:val="eachSect"/>
      </w:footnotePr>
      <w:pgSz w:w="12240" w:h="15840"/>
      <w:pgMar w:top="1440" w:right="1440" w:bottom="1440" w:left="1440" w:header="720" w:footer="72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cs="Times New Roman" w:eastAsia="Times New Roman"/>
        <w:sz w:val="18"/>
        <w:szCs w:val="18"/>
      </w:rPr>
      <w:fldChar w:fldCharType="begin" w:dirty="true"/>
    </w:r>
    <w:r>
      <w:rPr>
        <w:rFonts w:ascii="Times New Roman" w:hAnsi="Times New Roman" w:cs="Times New Roman" w:eastAsia="Times New Roman"/>
        <w:sz w:val="18"/>
        <w:szCs w:val="18"/>
      </w:rPr>
      <w:instrText xml:space="preserve"> PAGE </w:instrText>
    </w:r>
    <w:r>
      <w:rPr>
        <w:rFonts w:ascii="Times New Roman" w:hAnsi="Times New Roman" w:cs="Times New Roman" w:eastAsia="Times New Roman"/>
        <w:sz w:val="18"/>
        <w:szCs w:val="18"/>
      </w:rPr>
      <w:fldChar w:fldCharType="separate"/>
    </w:r>
    <w:r>
      <w:rPr>
        <w:rFonts w:ascii="Times New Roman" w:hAnsi="Times New Roman" w:cs="Times New Roman" w:eastAsia="Times New Roman"/>
        <w:sz w:val="18"/>
        <w:szCs w:val="18"/>
      </w:rPr>
      <w:t>1</w:t>
    </w:r>
    <w:r>
      <w:rPr>
        <w:rFonts w:ascii="Times New Roman" w:hAnsi="Times New Roman" w:cs="Times New Roman" w:eastAsia="Times New Roman"/>
        <w:sz w:val="18"/>
        <w:szCs w:val="18"/>
      </w:rPr>
      <w:fldChar w:fldCharType="end"/>
    </w:r>
    <w:r>
      <w:rPr>
        <w:rFonts w:ascii="Times New Roman" w:hAnsi="Times New Roman" w:cs="Times New Roman" w:eastAsia="Times New Roman"/>
        <w:sz w:val="18"/>
        <w:szCs w:val="18"/>
      </w:rPr>
      <w:t>/</w:t>
    </w:r>
    <w:r>
      <w:rPr>
        <w:rFonts w:ascii="Times New Roman" w:hAnsi="Times New Roman" w:cs="Times New Roman" w:eastAsia="Times New Roman"/>
        <w:sz w:val="18"/>
        <w:szCs w:val="18"/>
      </w:rPr>
      <w:fldChar w:fldCharType="begin" w:dirty="true"/>
    </w:r>
    <w:r>
      <w:rPr>
        <w:rFonts w:ascii="Times New Roman" w:hAnsi="Times New Roman" w:cs="Times New Roman" w:eastAsia="Times New Roman"/>
        <w:sz w:val="18"/>
        <w:szCs w:val="18"/>
      </w:rPr>
      <w:instrText xml:space="preserve"> SECTIONPAGES </w:instrText>
    </w:r>
    <w:r>
      <w:rPr>
        <w:rFonts w:ascii="Times New Roman" w:hAnsi="Times New Roman" w:cs="Times New Roman" w:eastAsia="Times New Roman"/>
        <w:sz w:val="18"/>
        <w:szCs w:val="18"/>
      </w:rPr>
      <w:fldChar w:fldCharType="separate"/>
    </w:r>
    <w:r>
      <w:rPr>
        <w:rFonts w:ascii="Times New Roman" w:hAnsi="Times New Roman" w:cs="Times New Roman" w:eastAsia="Times New Roman"/>
        <w:sz w:val="18"/>
        <w:szCs w:val="18"/>
      </w:rPr>
      <w:t>1</w:t>
    </w:r>
    <w:r>
      <w:rPr>
        <w:rFonts w:ascii="Times New Roman" w:hAnsi="Times New Roman" w:cs="Times New Roman" w:eastAsia="Times New Roman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1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仿宋_GB2312"/>
        <w:sz w:val="28"/>
        <w:szCs w:val="28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Chars="0"/>
      <w:jc w:val="left"/>
    </w:pPr>
    <w:rPr>
      <w:rFonts w:ascii="Times New Roman" w:hAnsi="Times New Roman" w:cs="Times New Roman" w:eastAsia="宋体"/>
      <w:sz w:val="21"/>
      <w:szCs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500" w:line="360" w:lineRule="auto" w:before="600"/>
      <w:contextualSpacing/>
      <w:jc w:val="center"/>
      <w:ind w:firstLineChars="0"/>
    </w:pPr>
    <w:rPr>
      <w:rFonts w:ascii="黑体" w:hAnsi="黑体" w:cs="黑体" w:eastAsia="黑体"/>
      <w:sz w:val="36"/>
      <w:szCs w:val="36"/>
      <w:color w:val="000000"/>
      <w:b w:val="1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40" w:before="280" w:line="360" w:lineRule="auto"/>
      <w:outlineLvl w:val="0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360" w:lineRule="auto"/>
      <w:outlineLvl w:val="1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80" w:line="360" w:lineRule="auto"/>
      <w:outlineLvl w:val="2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pPr>
      <w:spacing w:before="0" w:after="0" w:line="360" w:lineRule="auto"/>
      <w:ind w:firstLineChars="0"/>
      <w:jc w:val="left"/>
    </w:pPr>
    <w:rPr>
      <w:rFonts w:ascii="Times New Roman" w:hAnsi="Times New Roman" w:cs="Times New Roman" w:eastAsia="宋体"/>
      <w:sz w:val="21"/>
      <w:szCs w:val="21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80" w:line="360" w:lineRule="auto" w:after="160"/>
      <w:outlineLvl w:val="9"/>
      <w:ind w:firstLineChars="0"/>
      <w:jc w:val="center"/>
    </w:pPr>
    <w:rPr>
      <w:rFonts w:ascii="黑体" w:hAnsi="黑体" w:cs="黑体" w:eastAsia="黑体"/>
      <w:b w:val="1"/>
      <w:bCs w:val="0"/>
      <w:color w:val="000000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n"/>
      <w:spacing w:before="120" w:after="120" w:line="280" w:lineRule="auto"/>
      <w:ind w:firstLineChars="0" w:left="220" w:right="220"/>
      <w:jc w:val="left"/>
      <w:shd w:val="clear" w:fill="F7F7F7"/>
      <w:pBdr>
        <w:top w:val="single" w:sz="4" w:space="5" w:color="D9D9D9"/>
        <w:left w:val="single" w:sz="4" w:space="5" w:color="D9D9D9"/>
        <w:bottom w:val="single" w:sz="4" w:space="5" w:color="D9D9D9"/>
        <w:right w:val="single" w:sz="4" w:space="5" w:color="D9D9D9"/>
      </w:pBdr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styleId="TOC1">
    <w:name w:val="toc 1"/>
    <w:pPr>
      <w:spacing w:before="0" w:after="40" w:line="360" w:lineRule="auto"/>
      <w:ind w:firstLineChars="0" w:left="0"/>
      <w:jc w:val="left"/>
    </w:pPr>
    <w:rPr>
      <w:rFonts w:ascii="Times New Roman" w:hAnsi="Times New Roman" w:cs="Times New Roman" w:eastAsia="仿宋_GB2312"/>
      <w:sz w:val="24"/>
      <w:szCs w:val="24"/>
    </w:rPr>
  </w:style>
  <w:style w:type="paragraph" w:styleId="TOC2">
    <w:name w:val="toc 2"/>
    <w:pPr>
      <w:spacing w:before="0" w:after="40" w:line="360" w:lineRule="auto"/>
      <w:ind w:firstLineChars="0" w:left="360"/>
      <w:jc w:val="left"/>
    </w:pPr>
    <w:rPr>
      <w:rFonts w:ascii="Times New Roman" w:hAnsi="Times New Roman" w:cs="Times New Roman" w:eastAsia="仿宋_GB2312"/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Id="rId9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2026-10-24T09:21:23Z</dcterms:created>
  <dcterms:modified xsi:type="dcterms:W3CDTF">2026-10-24T09:21:23Z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