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4717" w14:textId="77777777" w:rsidR="00A708C2" w:rsidRDefault="00000000">
      <w:pPr>
        <w:pStyle w:val="Title"/>
      </w:pPr>
      <w:r>
        <w:t>Cohort Definition</w:t>
      </w:r>
    </w:p>
    <w:p w14:paraId="5523F121" w14:textId="77777777" w:rsidR="00A708C2" w:rsidRDefault="00000000">
      <w:pPr>
        <w:pStyle w:val="Subtitle"/>
      </w:pPr>
      <w:r>
        <w:t xml:space="preserve">Agentic Chart Review for Pediatric Asthma Guideline Adherence </w:t>
      </w:r>
    </w:p>
    <w:p w14:paraId="5EE66C88" w14:textId="77777777" w:rsidR="00A708C2" w:rsidRDefault="00000000">
      <w:pPr>
        <w:pStyle w:val="Heading1"/>
      </w:pPr>
      <w:r>
        <w:t>1. Study Overview</w:t>
      </w:r>
    </w:p>
    <w:p w14:paraId="48DE8CAD" w14:textId="77777777" w:rsidR="00A708C2" w:rsidRDefault="00000000">
      <w:r>
        <w:t>This document defines the patient cohort to be extracted from the Indiana Network for Patient Care (INPC) for use in the Agentic Chart Review for Pediatric Asthma Guideline Adherence study. This is a multi-site retrospective observational study that develops, validates, and applies an AI-based automated chart review system to measure primary care provider adherence to the National Asthma Education and Prevention Program (NAEPP) pediatric asthma guidelines. INPC serves as a development and validation site for this study, providing a multi-system health information exchange (HIE) data environment.</w:t>
      </w:r>
    </w:p>
    <w:p w14:paraId="1CC79893" w14:textId="77777777" w:rsidR="00A708C2" w:rsidRDefault="00000000">
      <w:pPr>
        <w:pStyle w:val="Heading1"/>
      </w:pPr>
      <w:r>
        <w:t>2. Role of INPC Data in the Study</w:t>
      </w:r>
    </w:p>
    <w:p w14:paraId="3034FD12" w14:textId="77777777" w:rsidR="00A708C2" w:rsidRDefault="00000000">
      <w:pPr>
        <w:pStyle w:val="ListBullet"/>
      </w:pPr>
      <w:r>
        <w:t>INPC data will be used for AI system development and validation</w:t>
      </w:r>
    </w:p>
    <w:p w14:paraId="7BDD61D2" w14:textId="77777777" w:rsidR="00A708C2" w:rsidRDefault="00000000">
      <w:pPr>
        <w:pStyle w:val="ListBullet"/>
      </w:pPr>
      <w:r>
        <w:t>INPC data will be used in the descriptive adherence analysis</w:t>
      </w:r>
    </w:p>
    <w:p w14:paraId="76FE9DA9" w14:textId="77777777" w:rsidR="00A708C2" w:rsidRDefault="00000000">
      <w:pPr>
        <w:pStyle w:val="Heading1"/>
      </w:pPr>
      <w:r>
        <w:t>3. Inclusion Criteria</w:t>
      </w:r>
    </w:p>
    <w:p w14:paraId="20F35DA6" w14:textId="77777777" w:rsidR="00A708C2" w:rsidRDefault="00000000">
      <w:pPr>
        <w:pStyle w:val="ListBullet"/>
      </w:pPr>
      <w:r>
        <w:t>Pediatric patients ages 2–17 years</w:t>
      </w:r>
    </w:p>
    <w:p w14:paraId="335C6985" w14:textId="77777777" w:rsidR="00A708C2" w:rsidRDefault="00000000">
      <w:pPr>
        <w:pStyle w:val="ListBullet"/>
      </w:pPr>
      <w:r>
        <w:t>Documented asthma diagnosis: ICD-10 J45.x with documented date</w:t>
      </w:r>
    </w:p>
    <w:p w14:paraId="7B48E057" w14:textId="77777777" w:rsidR="00A708C2" w:rsidRDefault="00000000">
      <w:pPr>
        <w:pStyle w:val="ListBullet"/>
      </w:pPr>
      <w:r>
        <w:t>At least 2 asthma-related encounters within the study period</w:t>
      </w:r>
    </w:p>
    <w:p w14:paraId="35D35F52" w14:textId="77777777" w:rsidR="00A708C2" w:rsidRDefault="00000000">
      <w:pPr>
        <w:pStyle w:val="ListBullet"/>
      </w:pPr>
      <w:r>
        <w:t>Longitudinal clinical notes available (progress notes, encounter notes, referrals)</w:t>
      </w:r>
    </w:p>
    <w:p w14:paraId="08FC8E0E" w14:textId="77777777" w:rsidR="00A708C2" w:rsidRDefault="00000000">
      <w:pPr>
        <w:pStyle w:val="Heading1"/>
      </w:pPr>
      <w:r>
        <w:t>4. Exclusion Criteria</w:t>
      </w:r>
    </w:p>
    <w:p w14:paraId="5BE26A94" w14:textId="77777777" w:rsidR="00A708C2" w:rsidRDefault="00000000">
      <w:pPr>
        <w:pStyle w:val="ListBullet"/>
      </w:pPr>
      <w:r>
        <w:t>Patients with fewer than 2 notes in the study period</w:t>
      </w:r>
    </w:p>
    <w:p w14:paraId="181F9226" w14:textId="77777777" w:rsidR="00A708C2" w:rsidRDefault="00000000">
      <w:pPr>
        <w:pStyle w:val="ListBullet"/>
      </w:pPr>
      <w:r>
        <w:t>Patients with a primary diagnosis of cystic fibrosis, bronchiectasis, or other chronic lung disease that would confound asthma management assessment</w:t>
      </w:r>
    </w:p>
    <w:p w14:paraId="0E36823E" w14:textId="77777777" w:rsidR="00A708C2" w:rsidRDefault="00000000">
      <w:pPr>
        <w:pStyle w:val="Heading1"/>
      </w:pPr>
      <w:r>
        <w:t>5. Observation Window</w:t>
      </w:r>
    </w:p>
    <w:p w14:paraId="5C2F2E1B" w14:textId="3436262B" w:rsidR="00A708C2" w:rsidRPr="000B399A" w:rsidRDefault="00000000">
      <w:pPr>
        <w:pStyle w:val="ListBullet"/>
        <w:rPr>
          <w:b/>
          <w:bCs/>
          <w:color w:val="EE0000"/>
        </w:rPr>
      </w:pPr>
      <w:r>
        <w:t xml:space="preserve">Calendar window: </w:t>
      </w:r>
      <w:r w:rsidRPr="000B399A">
        <w:rPr>
          <w:b/>
          <w:bCs/>
          <w:color w:val="EE0000"/>
        </w:rPr>
        <w:t>20</w:t>
      </w:r>
      <w:r w:rsidR="00B028E2" w:rsidRPr="000B399A">
        <w:rPr>
          <w:b/>
          <w:bCs/>
          <w:color w:val="EE0000"/>
        </w:rPr>
        <w:t>15</w:t>
      </w:r>
      <w:r w:rsidRPr="000B399A">
        <w:rPr>
          <w:b/>
          <w:bCs/>
          <w:color w:val="EE0000"/>
        </w:rPr>
        <w:t>–202</w:t>
      </w:r>
      <w:r w:rsidR="00F53D42">
        <w:rPr>
          <w:b/>
          <w:bCs/>
          <w:color w:val="EE0000"/>
        </w:rPr>
        <w:t>6</w:t>
      </w:r>
    </w:p>
    <w:p w14:paraId="1908BABF" w14:textId="77777777" w:rsidR="00A708C2" w:rsidRDefault="00000000">
      <w:pPr>
        <w:pStyle w:val="ListBullet"/>
      </w:pPr>
      <w:r>
        <w:t>All eligible patients within this period will be included</w:t>
      </w:r>
    </w:p>
    <w:p w14:paraId="7EF0EB4E" w14:textId="77777777" w:rsidR="00A708C2" w:rsidRDefault="00D07986">
      <w:pPr>
        <w:pStyle w:val="Heading1"/>
      </w:pPr>
      <w:r>
        <w:t>6. PHI Data Elements to Be Accessed</w:t>
      </w:r>
    </w:p>
    <w:p w14:paraId="7B7FF8D5" w14:textId="77777777" w:rsidR="00A708C2" w:rsidRDefault="00000000">
      <w:r>
        <w:t>The following data elements will be extracted from INPC for each patient in the cohort:</w:t>
      </w:r>
    </w:p>
    <w:p w14:paraId="7779F9FD" w14:textId="77777777" w:rsidR="00A708C2" w:rsidRDefault="00000000">
      <w:pPr>
        <w:pStyle w:val="Heading2"/>
      </w:pPr>
      <w:r>
        <w:lastRenderedPageBreak/>
        <w:t>Structured EHR Data</w:t>
      </w:r>
    </w:p>
    <w:p w14:paraId="48DF87C3" w14:textId="24450EAE" w:rsidR="00A14B5C" w:rsidRPr="000B399A" w:rsidRDefault="00A14B5C">
      <w:pPr>
        <w:pStyle w:val="Heading2"/>
        <w:rPr>
          <w:color w:val="EE0000"/>
        </w:rPr>
      </w:pPr>
      <w:r w:rsidRPr="000B399A">
        <w:rPr>
          <w:color w:val="EE0000"/>
        </w:rPr>
        <w:t>All OMOP</w:t>
      </w:r>
    </w:p>
    <w:p w14:paraId="07938580" w14:textId="66FC960E" w:rsidR="00A14B5C" w:rsidRDefault="00000000" w:rsidP="00A14B5C">
      <w:pPr>
        <w:pStyle w:val="Heading2"/>
      </w:pPr>
      <w:r>
        <w:t>Clinical Notes</w:t>
      </w:r>
    </w:p>
    <w:p w14:paraId="48F209D4" w14:textId="31F8CCCA" w:rsidR="00A14B5C" w:rsidRPr="000B399A" w:rsidRDefault="00A14B5C" w:rsidP="00A14B5C">
      <w:pPr>
        <w:pStyle w:val="Heading2"/>
        <w:rPr>
          <w:color w:val="EE0000"/>
        </w:rPr>
      </w:pPr>
      <w:r w:rsidRPr="000B399A">
        <w:rPr>
          <w:color w:val="EE0000"/>
        </w:rPr>
        <w:t>ALL NOTES</w:t>
      </w:r>
    </w:p>
    <w:sectPr w:rsidR="00A14B5C" w:rsidRPr="000B39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494306">
    <w:abstractNumId w:val="8"/>
  </w:num>
  <w:num w:numId="2" w16cid:durableId="1743943345">
    <w:abstractNumId w:val="6"/>
  </w:num>
  <w:num w:numId="3" w16cid:durableId="387193488">
    <w:abstractNumId w:val="5"/>
  </w:num>
  <w:num w:numId="4" w16cid:durableId="1295063714">
    <w:abstractNumId w:val="4"/>
  </w:num>
  <w:num w:numId="5" w16cid:durableId="1976371769">
    <w:abstractNumId w:val="7"/>
  </w:num>
  <w:num w:numId="6" w16cid:durableId="1947034520">
    <w:abstractNumId w:val="3"/>
  </w:num>
  <w:num w:numId="7" w16cid:durableId="1165127478">
    <w:abstractNumId w:val="2"/>
  </w:num>
  <w:num w:numId="8" w16cid:durableId="1929774343">
    <w:abstractNumId w:val="1"/>
  </w:num>
  <w:num w:numId="9" w16cid:durableId="26045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99A"/>
    <w:rsid w:val="0015074B"/>
    <w:rsid w:val="001C470A"/>
    <w:rsid w:val="0029639D"/>
    <w:rsid w:val="00326F90"/>
    <w:rsid w:val="00356619"/>
    <w:rsid w:val="00363A60"/>
    <w:rsid w:val="004F5E05"/>
    <w:rsid w:val="005539ED"/>
    <w:rsid w:val="005E4EA0"/>
    <w:rsid w:val="00737EEB"/>
    <w:rsid w:val="00746A05"/>
    <w:rsid w:val="008E277C"/>
    <w:rsid w:val="00A14B5C"/>
    <w:rsid w:val="00A27DCD"/>
    <w:rsid w:val="00A708C2"/>
    <w:rsid w:val="00AA1D8D"/>
    <w:rsid w:val="00B028E2"/>
    <w:rsid w:val="00B47730"/>
    <w:rsid w:val="00C71B2C"/>
    <w:rsid w:val="00CB0664"/>
    <w:rsid w:val="00D07986"/>
    <w:rsid w:val="00D6499C"/>
    <w:rsid w:val="00E43923"/>
    <w:rsid w:val="00EB19DA"/>
    <w:rsid w:val="00F250A7"/>
    <w:rsid w:val="00F53D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35895"/>
  <w14:defaultImageDpi w14:val="300"/>
  <w15:docId w15:val="{87FA48B7-C656-8742-B781-E06C98AA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223</Words>
  <Characters>1411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Jiang, Yuhang</cp:lastModifiedBy>
  <cp:revision>16</cp:revision>
  <dcterms:created xsi:type="dcterms:W3CDTF">2013-12-23T23:15:00Z</dcterms:created>
  <dcterms:modified xsi:type="dcterms:W3CDTF">2026-05-11T15:07:00Z</dcterms:modified>
  <cp:category/>
</cp:coreProperties>
</file>