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DBA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  <w:highlight w:val="yellow"/>
        </w:rPr>
      </w:pPr>
      <w:bookmarkStart w:id="1" w:name="_GoBack"/>
      <w:bookmarkEnd w:id="1"/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阶段一：数据采集与治理</w:t>
      </w:r>
    </w:p>
    <w:p w14:paraId="1B33594C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605EB5C1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合规与多源融合：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必须在合规前提下扩展数据维度，避免单一数据源造成的企业画像缺失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92C9CCE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高精度实体对齐：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解决企业曾用名、简称及不同平台间数据口径不一致的问题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7649AE96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color w:val="1F1F1F"/>
          <w:highlight w:val="yellow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highlight w:val="yellow"/>
          <w:lang w:val="en-US" w:eastAsia="zh-CN"/>
        </w:rPr>
        <w:t>维度和平台：</w:t>
      </w:r>
    </w:p>
    <w:p w14:paraId="661DC930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1. 企业基础画像与财务维度</w:t>
      </w:r>
    </w:p>
    <w:p w14:paraId="3368F71B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国家企业信用信息公示系统：</w:t>
      </w:r>
      <w:r>
        <w:rPr>
          <w:rFonts w:hint="default" w:ascii="sans-serif" w:hAnsi="sans-serif" w:eastAsia="sans-serif" w:cs="sans-serif"/>
        </w:rPr>
        <w:t xml:space="preserve"> 最权威的官方渠道，可获取企业注册资本、股东信息、变更记录和经营异常名录 。 </w:t>
      </w:r>
    </w:p>
    <w:p w14:paraId="67D86CCE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巨潮资讯网 / 证券交易所官网：</w:t>
      </w:r>
      <w:r>
        <w:rPr>
          <w:rFonts w:hint="default" w:ascii="sans-serif" w:hAnsi="sans-serif" w:eastAsia="sans-serif" w:cs="sans-serif"/>
        </w:rPr>
        <w:t xml:space="preserve"> 提供详尽的上市公司年报、招股说明书和交易所公告 。通过对这些长文本进行自然语言处理（NLP），可以提取出企业的前五大供应商、前五大客户以及对外投资情况，极大丰富图谱的关系维度。 </w:t>
      </w:r>
    </w:p>
    <w:p w14:paraId="690B5522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商业信用平台（企查查、天眼查、启信宝）：</w:t>
      </w:r>
      <w:r>
        <w:rPr>
          <w:rFonts w:hint="default" w:ascii="sans-serif" w:hAnsi="sans-serif" w:eastAsia="sans-serif" w:cs="sans-serif"/>
        </w:rPr>
        <w:t xml:space="preserve"> 建议直接采购其企业版 API 服务。虽然需要一定成本，但它们已经完成了实体对齐和关系清洗，能合法合规地批量获取数据。</w:t>
      </w:r>
    </w:p>
    <w:p w14:paraId="09C2F3E6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2. 创新能力与技术维度</w:t>
      </w:r>
    </w:p>
    <w:p w14:paraId="53DD0388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国家知识产权局（CNIPA）专利公开数据：</w:t>
      </w:r>
      <w:r>
        <w:rPr>
          <w:rFonts w:hint="default" w:ascii="sans-serif" w:hAnsi="sans-serif" w:eastAsia="sans-serif" w:cs="sans-serif"/>
        </w:rPr>
        <w:t xml:space="preserve"> 官方专利数据库 。 </w:t>
      </w:r>
    </w:p>
    <w:p w14:paraId="35494A21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Innojoy / 佰腾网等专利检索平台：</w:t>
      </w:r>
      <w:r>
        <w:rPr>
          <w:rFonts w:hint="default" w:ascii="sans-serif" w:hAnsi="sans-serif" w:eastAsia="sans-serif" w:cs="sans-serif"/>
        </w:rPr>
        <w:t xml:space="preserve"> 可以获取详细的专利申请、授权与转让数据。在处理这部分数据时，可以通过提取特定的 IPC 国际专利分类号（例如 B64U 等特定技术领域的分类号）和专利文本，精准量化企业的技术创新方向、研发连续性以及在特定产业链环节的“硬科技”实力。</w:t>
      </w:r>
    </w:p>
    <w:p w14:paraId="2A54E953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3. 招投标与供应链合作维度</w:t>
      </w:r>
    </w:p>
    <w:p w14:paraId="1C3419BC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中国招标投标公共服务平台：</w:t>
      </w:r>
      <w:r>
        <w:rPr>
          <w:rFonts w:hint="default" w:ascii="sans-serif" w:hAnsi="sans-serif" w:eastAsia="sans-serif" w:cs="sans-serif"/>
        </w:rPr>
        <w:t xml:space="preserve"> 国家级招投标公告汇总平台 。 </w:t>
      </w:r>
    </w:p>
    <w:p w14:paraId="6881DC3A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各省级/市级公共资源交易平台：</w:t>
      </w:r>
      <w:r>
        <w:rPr>
          <w:rFonts w:hint="default" w:ascii="sans-serif" w:hAnsi="sans-serif" w:eastAsia="sans-serif" w:cs="sans-serif"/>
        </w:rPr>
        <w:t xml:space="preserve"> 包含大量政府和国企的采购数据。通过对中标公告进行文本解析，可以抽取出“谁是招标方”、“谁是联合投标方”，这是构建企业“真实合作网络”和“共同业务圈”的极佳数据源。</w:t>
      </w:r>
    </w:p>
    <w:p w14:paraId="5CEF7FF5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4. 司法诉讼与经营风险维度</w:t>
      </w:r>
    </w:p>
    <w:p w14:paraId="363D0318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中国裁判文书网 / 中国执行信息公开网：</w:t>
      </w:r>
      <w:r>
        <w:rPr>
          <w:rFonts w:hint="default" w:ascii="sans-serif" w:hAnsi="sans-serif" w:eastAsia="sans-serif" w:cs="sans-serif"/>
        </w:rPr>
        <w:t xml:space="preserve"> 提供权威的失信被执行人信息、限制高消费记录和详细的民事判决书 。这些数据可用于构建风控模型中的一票否决规则（如重大诉讼拦截）或提取企业间的“纠纷/诉讼”关系。 </w:t>
      </w:r>
    </w:p>
    <w:p w14:paraId="29369B1A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信用中国：</w:t>
      </w:r>
      <w:r>
        <w:rPr>
          <w:rFonts w:hint="default" w:ascii="sans-serif" w:hAnsi="sans-serif" w:eastAsia="sans-serif" w:cs="sans-serif"/>
        </w:rPr>
        <w:t xml:space="preserve"> 汇总了各部委的行政处罚数据和失信黑名单。</w:t>
      </w:r>
    </w:p>
    <w:p w14:paraId="163043CE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5. 宏观环境与区域经济维度</w:t>
      </w:r>
    </w:p>
    <w:p w14:paraId="6B7E9A05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国家统计局 / 各地方政府数据开放平台：</w:t>
      </w:r>
      <w:r>
        <w:rPr>
          <w:rFonts w:hint="default" w:ascii="sans-serif" w:hAnsi="sans-serif" w:eastAsia="sans-serif" w:cs="sans-serif"/>
        </w:rPr>
        <w:t xml:space="preserve"> 提供地级市层面的宏观经济指标。</w:t>
      </w:r>
    </w:p>
    <w:p w14:paraId="421D2102">
      <w:pPr>
        <w:pStyle w:val="18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学术与经济数据库（如 CSMAR、CNRDS、EPS）：</w:t>
      </w:r>
      <w:r>
        <w:rPr>
          <w:rFonts w:hint="default" w:ascii="sans-serif" w:hAnsi="sans-serif" w:eastAsia="sans-serif" w:cs="sans-serif"/>
        </w:rPr>
        <w:t xml:space="preserve"> 这类数据库通常提供清洗好的区域经济与产业数据。结合地级市的面板数据，可以很好地控制区域特征（如所在地的产业集聚度、政府补贴力度），这在做空间计量或经济地理层面的下沉分析时尤为关键，能显著提升模型评分的客观性。</w:t>
      </w:r>
    </w:p>
    <w:p w14:paraId="146691DC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-360" w:leftChars="0" w:right="0" w:rightChars="0"/>
        <w:rPr>
          <w:rFonts w:hint="eastAsia" w:ascii="sans-serif" w:hAnsi="sans-serif" w:eastAsia="sans-serif" w:cs="sans-serif"/>
          <w:color w:val="1F1F1F"/>
          <w:lang w:val="en-US" w:eastAsia="zh-CN"/>
        </w:rPr>
      </w:pPr>
    </w:p>
    <w:p w14:paraId="65AF9FE9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2C0CDBF3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清洗与标准化：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利用 Python（特别是 Pandas 库和正则表达式）进行大规模结构化与半结构化数据的清洗。重点对注册地址、行业分类进行统一定义，并利用统一社会信用代码作为主键（Primary Key）进行跨表关联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570E31D3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自动化关系抽取：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针对招投标公告、司法文书等长文本，编写自动化脚本提取“供应”、“合作”、“诉讼”等核心关系，构建初始的关系三元组数据集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5EB509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64B67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  <w:highlight w:val="yellow"/>
        </w:rPr>
      </w:pPr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阶段二：产业链知识图谱构建</w:t>
      </w:r>
    </w:p>
    <w:p w14:paraId="0FB70981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63969763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清晰的本体设计（Ontology）：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图谱不仅要包含企业，还要能准确表达项目、专利、风险事件等复杂业务节点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  <w:t>要把企业在真实商业社会中经历的方方面面，都抽象成图谱里的“点”（节点/实体），而不是仅仅只记录“公司”这一种类型的点。在传统的企业关系网中，节点通常只有“企业”，连线往往只代表“A卖东西给B”或“A投资了B”。但真实的商业逻辑远比这复杂。你们策划书中明确提到：“知识图谱包括实体、关系和属性三部分。实体类型包括企业、核心企业、供应商、客户、专利、项目、产品、股东、法人、风险事件、区域和行业。”   这就是要打破传统单一的视角，建立一个多维度的网络。</w:t>
      </w:r>
    </w:p>
    <w:p w14:paraId="5869FDB9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  <w:t>我们可以把这些“复杂业务节点”拆开来理解：</w:t>
      </w:r>
    </w:p>
    <w:p w14:paraId="7411F414">
      <w:pPr>
        <w:pStyle w:val="18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left="0" w:right="0"/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</w:pPr>
      <w:r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  <w:t>将“项目（Project）”作为节点传统视角： 银行只知道A公司和B公司都属于建筑行业，看起来没什么交集。图谱视角： 如果A公司和B公司共同参与了“某地跨海大桥”的建设，那么在图谱里，A和B都会连向“某地跨海大桥”这个项目节点。这就能帮风控模型发现，A和B之间存在隐性的“项目合作关系”和业务默契度。这种合作稳定性是优质产业链企业的重要加分项。</w:t>
      </w:r>
    </w:p>
    <w:p w14:paraId="34F4DF0F">
      <w:pPr>
        <w:pStyle w:val="18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right="0" w:rightChars="0"/>
        <w:rPr>
          <w:rFonts w:hint="eastAsia" w:ascii="宋体" w:hAnsi="宋体" w:eastAsia="宋体" w:cs="宋体"/>
          <w:color w:val="1F1F1F"/>
          <w:sz w:val="21"/>
          <w:szCs w:val="21"/>
        </w:rPr>
      </w:pPr>
      <w:r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  <w:t xml:space="preserve">2. 将“专利（Patent）”作为节点传统视角： 报表上只显示A公司有10项专利。图谱视角： A公司、某高校以及另一家核心企业，共同连向了一项名为“某型自动化控制系统”的专利节点。这不仅说明A公司有研发能力，更证明了它在产业链中与核心企业存在深度的“合作研发关系”，它的技术是真正有协同价值的。 </w:t>
      </w:r>
    </w:p>
    <w:p w14:paraId="50DE15F2">
      <w:pPr>
        <w:pStyle w:val="18"/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360" w:lineRule="auto"/>
        <w:ind w:right="0" w:rightChars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宋体" w:hAnsi="宋体" w:eastAsia="宋体" w:cs="宋体"/>
          <w:color w:val="1F1F1F"/>
          <w:sz w:val="21"/>
          <w:szCs w:val="21"/>
          <w:bdr w:val="none" w:color="auto" w:sz="0" w:space="0"/>
        </w:rPr>
        <w:t xml:space="preserve"> 3. 将“风险事件（Risk Event）”作为节点传统视角： D公司（核心企业）发生了合同违约。图谱视角： 图谱中建立了一个“合同违约纠纷”的风险节点，D公司连向了它。此时，图谱可以顺着“采购关系”往下看，发现E公司是D的主要供应商。那么，即便E公司本身的财务报表毫无污点，图谱也能通过多跳关联发现，E公司极有可能面临被D公司拖欠货款的风险 。这就是所谓的“多跳关联风险识别”。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 </w:t>
      </w:r>
    </w:p>
    <w:p w14:paraId="3C244F50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eastAsia" w:ascii="sans-serif" w:hAnsi="sans-serif" w:eastAsia="sans-serif" w:cs="sans-serif"/>
          <w:color w:val="1F1F1F"/>
          <w:lang w:eastAsia="zh-CN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关系穿透能力：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数据库必须能够支持多跳查询，以识别隐形的上下游和多重股权穿透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在图数据库（如 Neo4j）中，“跳（Hop）”指的是从一个节点出发，顺着关系（连线）走到下一个节点所跨越的“步数”或“层级”。</w:t>
      </w:r>
      <w:r>
        <w:rPr>
          <w:rFonts w:hint="eastAsia" w:ascii="sans-serif" w:hAnsi="sans-serif" w:eastAsia="sans-serif" w:cs="sans-serif"/>
          <w:color w:val="1F1F1F"/>
          <w:lang w:eastAsia="zh-CN"/>
        </w:rPr>
        <w:drawing>
          <wp:inline distT="0" distB="0" distL="114300" distR="114300">
            <wp:extent cx="5482590" cy="3491230"/>
            <wp:effectExtent l="0" t="0" r="3810" b="13970"/>
            <wp:docPr id="1" name="图片 1" descr="截屏2026-06-25 21.46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6-25 21.46.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DC85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7FBE3EFB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1F1F1F"/>
          <w:sz w:val="22"/>
          <w:szCs w:val="22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图数据库选型与导入：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采用 Neo4j 作为底层图数据库 。将第一阶段清洗好的 CSV 数据集（分为实体表和关系表）通过 Cypher 语句或批量导入工具加载进数据库。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eastAsia" w:ascii="宋体" w:hAnsi="宋体" w:eastAsia="宋体" w:cs="宋体"/>
          <w:color w:val="1F1F1F"/>
          <w:sz w:val="22"/>
          <w:szCs w:val="22"/>
          <w:bdr w:val="none" w:color="auto" w:sz="0" w:space="0"/>
        </w:rPr>
        <w:t>构建产业链知识图谱时，底层数据通常需要按照图数据库（如 Neo4j）的逻辑进行重组。图数据库将世界看作是由节点（Nodes/实体）和边（Edges/关系）组成的</w:t>
      </w:r>
      <w:r>
        <w:rPr>
          <w:rFonts w:hint="eastAsia" w:ascii="宋体" w:hAnsi="宋体" w:eastAsia="宋体" w:cs="宋体"/>
          <w:color w:val="1F1F1F"/>
          <w:sz w:val="22"/>
          <w:szCs w:val="22"/>
          <w:bdr w:val="none" w:color="auto" w:sz="0" w:space="0"/>
          <w:lang w:eastAsia="zh-CN"/>
        </w:rPr>
        <w:t>。</w:t>
      </w:r>
      <w:r>
        <w:rPr>
          <w:rFonts w:hint="eastAsia" w:ascii="宋体" w:hAnsi="宋体" w:eastAsia="宋体" w:cs="宋体"/>
          <w:color w:val="1F1F1F"/>
          <w:sz w:val="22"/>
          <w:szCs w:val="22"/>
          <w:bdr w:val="none" w:color="auto" w:sz="0" w:space="0"/>
        </w:rPr>
        <w:t>因此，在前期数据清洗阶段，你需要将原始的多源异构数据转化为严格的实体表（Node Tables）和关系表（Relationship Tables）。通常，你会维护多个 CSV 文件或 DataFrame。</w:t>
      </w:r>
    </w:p>
    <w:p w14:paraId="723FC1CC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网络结构优化：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为关键节点（如“核心企业”、“高频风险事件”）建立图索引，优化查询速度。定义好诸如“共同投标”、“同区域”等边属性，为后续图神经网络的采样做好准备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5BCC7E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阶段三：特征工程与图神经网络表征学习</w:t>
      </w:r>
    </w:p>
    <w:p w14:paraId="37B9D233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60D110EC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特征多维性：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除了基础的财务和工商指标，必须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突出企业的创新能力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及在产业链网络中的位置（如中心度）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0C1C5341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模型泛化与扩展性：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图模型需能处理新增企业节点，避免严重的过拟合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6FB56A1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68C92A88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0CDB6D7E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空间与经济特征构建：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结合产业经济学视角，重点计算“所在地区产业集聚度”和“与核心企业距离”等网络及区域特征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30C07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18F59A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GraphSAGE 训练：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利用 PyTorch Geometric 或 DGL 框架实现 GraphSAGE。通过其“邻居采样”机制聚合上下游企业的特征，将高维的图谱拓扑结构降维成低维的节点嵌入（Node Embeddings）向量 。运用早停机制（Early Stopping）和交叉验证控制过拟合风险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623DD9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2578B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  <w:highlight w:val="yellow"/>
        </w:rPr>
      </w:pPr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阶段四：白名单评分与可解释机制构建</w:t>
      </w:r>
    </w:p>
    <w:p w14:paraId="72E76453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19DC8E5B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金融风控适用性：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评分结果不能是纯粹的“黑箱”，必须符合金融机构的人工复核逻辑，且包含一票否决的风险拦截机制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3FE493D1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推荐体系分层：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白名单需有梯队，不能仅输出单一分数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01208E66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32FD05D6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5ABDEC47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混合模型架构：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将 GraphSAGE 输出的图特征与企业原始的基础、创新、风险特征拼接，输入 XGBoost 或 LightGBM 进行最终的分类预测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3AF5309E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规则引擎与 SHAP 解释：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设置硬性规则引擎（如存在“失信被执行”直接降级为 D 类） 。引入 SHAP 算法，量化每个特征对最终评分的贡献度，明确告诉业务员“为什么推荐”或“风险点在哪”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139676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6E5E4E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阶段五：辅助分析与系统原型开发</w:t>
      </w:r>
    </w:p>
    <w:p w14:paraId="0E673196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1440B980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大模型（FinAgent）的准确定位：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大模型仅作为辅助工具，用于生成自然语言报告，切忌让其直接参与打分从而产生幻觉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BB273DC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全流程演示能力：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系统前端需直观展示图谱结构、企业画像及最终报告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044089D4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321C1722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5C59EDCD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前后端分离开发：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后端采用 FastAPI 封装模型预测接口和图谱查询接口；前端使用 Streamlit 快速搭建交互界面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7BDB53D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自动化报告生成：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将企业的各项指标评分、命中规则和 SHAP 解释结果打包成 Prompt，调用 FinAgent 生成结构化的《产业链企业白名单智能初筛与尽调报告》，提升系统的业务表现力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38A3214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highlight w:val="yellow"/>
          <w:bdr w:val="none" w:color="1F1F1F" w:sz="0" w:space="0"/>
        </w:rPr>
        <w:t>阶段六：成果整理与提交准备</w:t>
      </w:r>
    </w:p>
    <w:p w14:paraId="7134B6BC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具体要求</w:t>
      </w:r>
    </w:p>
    <w:p w14:paraId="07BC720D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完全的匿名性：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正式提交版本绝对不能出现任何能识别团队成员、学校名称的信息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36028A8E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代码的开箱即用：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评委需要能够顺利复现系统和实验结果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11BFA52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具体处理方案</w:t>
      </w:r>
    </w:p>
    <w:p w14:paraId="71A4BC85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脱敏与文档审查：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对演示用的真实企业样本关键敏感信息进行脱敏（如隐藏法人真实姓名、替换部分敏感财务数据）。全局检查文档，剔除所有校徽及个人 ID 标识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p w14:paraId="48FBB099">
      <w:pPr>
        <w:pStyle w:val="1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right="0"/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环境封装：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编写详尽的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30"/>
          <w:szCs w:val="30"/>
          <w:bdr w:val="none" w:color="auto" w:sz="0" w:space="0"/>
        </w:rPr>
        <w:t>README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 xml:space="preserve"> 文档，并使用 Docker 封装整个运行环境，或者提供严格限定版本号的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30"/>
          <w:szCs w:val="30"/>
          <w:bdr w:val="none" w:color="auto" w:sz="0" w:space="0"/>
        </w:rPr>
        <w:t>requirements.txt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。准备好本地可以直接跑通的演示数据（Demo Data），以防答辩现场网络或数据库连接出现意外 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7D481"/>
    <w:multiLevelType w:val="multilevel"/>
    <w:tmpl w:val="C3E7D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EAB2A6A"/>
    <w:multiLevelType w:val="singleLevel"/>
    <w:tmpl w:val="EEAB2A6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ACE9459"/>
    <w:multiLevelType w:val="multilevel"/>
    <w:tmpl w:val="FACE94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CE9B24"/>
    <w:multiLevelType w:val="multilevel"/>
    <w:tmpl w:val="FFCE9B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85FC4ED5"/>
    <w:rsid w:val="EDFD7E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uiPriority w:val="0"/>
  </w:style>
  <w:style w:type="character" w:styleId="23">
    <w:name w:val="footnote reference"/>
    <w:basedOn w:val="22"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20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83</Words>
  <Characters>475</Characters>
  <Lines>12</Lines>
  <Paragraphs>8</Paragraphs>
  <TotalTime>47</TotalTime>
  <ScaleCrop>false</ScaleCrop>
  <LinksUpToDate>false</LinksUpToDate>
  <CharactersWithSpaces>583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2026-06-25T15:11:00Z</dcterms:created>
  <dc:creator>Yuhan LIU</dc:creator>
  <cp:lastModifiedBy>Yuhan LIU</cp:lastModifiedBy>
  <dcterms:modified xsi:type="dcterms:W3CDTF">2026-06-25T22:06:03Z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2052-12.1.25880.25880</vt:lpwstr>
  </property>
  <property fmtid="{D5CDD505-2E9C-101B-9397-08002B2CF9AE}" pid="4" name="ICV">
    <vt:lpwstr>96C0ABC8D64DC85DC2353D6AE89EA01E_42</vt:lpwstr>
  </property>
</Properties>
</file>