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DAE1C" w14:textId="77777777" w:rsidR="00C57C2D" w:rsidRPr="00C57C2D" w:rsidRDefault="00C57C2D" w:rsidP="00C57C2D">
      <w:pPr>
        <w:spacing w:after="120"/>
        <w:outlineLvl w:val="0"/>
        <w:rPr>
          <w:rFonts w:ascii="Arial" w:eastAsia="Times New Roman" w:hAnsi="Arial" w:cs="Arial"/>
          <w:b/>
          <w:bCs/>
          <w:color w:val="1B1C1D"/>
          <w:kern w:val="36"/>
          <w:sz w:val="33"/>
          <w:szCs w:val="33"/>
        </w:rPr>
      </w:pPr>
      <w:r w:rsidRPr="00C57C2D">
        <w:rPr>
          <w:rFonts w:ascii="Arial" w:eastAsia="Times New Roman" w:hAnsi="Arial" w:cs="Arial"/>
          <w:b/>
          <w:bCs/>
          <w:color w:val="1B1C1D"/>
          <w:kern w:val="36"/>
          <w:sz w:val="33"/>
          <w:szCs w:val="33"/>
        </w:rPr>
        <w:t>The Dual Imperatives: Sensitivity and Specificity in T-cell Antigen Recognition and Their Underlying Mechanisms</w:t>
      </w:r>
    </w:p>
    <w:p w14:paraId="29ED34AD" w14:textId="77777777" w:rsidR="00C57C2D" w:rsidRPr="00C57C2D" w:rsidRDefault="00C57C2D" w:rsidP="00C57C2D">
      <w:pPr>
        <w:outlineLvl w:val="2"/>
        <w:rPr>
          <w:rFonts w:ascii="Arial" w:eastAsia="Times New Roman" w:hAnsi="Arial" w:cs="Arial"/>
          <w:b/>
          <w:bCs/>
          <w:color w:val="1B1C1D"/>
        </w:rPr>
      </w:pPr>
      <w:r w:rsidRPr="00C57C2D">
        <w:rPr>
          <w:rFonts w:ascii="Arial" w:eastAsia="Times New Roman" w:hAnsi="Arial" w:cs="Arial"/>
          <w:b/>
          <w:bCs/>
          <w:color w:val="1B1C1D"/>
          <w:bdr w:val="none" w:sz="0" w:space="0" w:color="auto" w:frame="1"/>
        </w:rPr>
        <w:t>Executive Summary</w:t>
      </w:r>
    </w:p>
    <w:p w14:paraId="0C0A95C9" w14:textId="77777777" w:rsidR="00C57C2D" w:rsidRPr="00C57C2D" w:rsidRDefault="00C57C2D" w:rsidP="00C57C2D">
      <w:pPr>
        <w:spacing w:after="240"/>
        <w:rPr>
          <w:rFonts w:ascii="Arial" w:eastAsia="Times New Roman" w:hAnsi="Arial" w:cs="Arial"/>
          <w:color w:val="1B1C1D"/>
        </w:rPr>
      </w:pPr>
      <w:r w:rsidRPr="00C57C2D">
        <w:rPr>
          <w:rFonts w:ascii="Arial" w:eastAsia="Times New Roman" w:hAnsi="Arial" w:cs="Arial"/>
          <w:color w:val="1B1C1D"/>
        </w:rPr>
        <w:t>T-cell antigen recognition is a cornerstone of adaptive immunity, demanding a precise balance between detecting minute quantities of foreign antigens (sensitivity) and preventing harmful reactions against self-components (specificity). This report elucidates the critical importance of these two parameters for immune homeostasis and defense, exploring the intricate molecular and cellular mechanisms that enable T cells to achieve this delicate equilibrium. From the unique structural basis of T-cell receptor (TCR)-MHC interaction and the vast diversity generated through genetic recombination, to sophisticated kinetic proofreading models, co-receptor engagement, and multi-layered intracellular signaling cascades, the immune system employs a highly integrated strategy. Furthermore, robust central and peripheral tolerance mechanisms act as essential safeguards, managing the inherent risks posed by TCR cross-reactivity—a necessary evolutionary compromise for broad pathogen coverage. Understanding these finely tuned processes is paramount for developing advanced immunotherapies, addressing autoimmune diseases, and enhancing protection against infections and malignancies.</w:t>
      </w:r>
    </w:p>
    <w:p w14:paraId="0D20F7B2" w14:textId="77777777" w:rsidR="00C57C2D" w:rsidRPr="00C57C2D" w:rsidRDefault="00C57C2D" w:rsidP="00C57C2D">
      <w:pPr>
        <w:outlineLvl w:val="2"/>
        <w:rPr>
          <w:rFonts w:ascii="Arial" w:eastAsia="Times New Roman" w:hAnsi="Arial" w:cs="Arial"/>
          <w:b/>
          <w:bCs/>
          <w:color w:val="1B1C1D"/>
        </w:rPr>
      </w:pPr>
      <w:r w:rsidRPr="00C57C2D">
        <w:rPr>
          <w:rFonts w:ascii="Arial" w:eastAsia="Times New Roman" w:hAnsi="Arial" w:cs="Arial"/>
          <w:b/>
          <w:bCs/>
          <w:color w:val="1B1C1D"/>
          <w:bdr w:val="none" w:sz="0" w:space="0" w:color="auto" w:frame="1"/>
        </w:rPr>
        <w:t>1. Introduction to T-cell Antigen Recognition: The Dual Imperatives of Sensitivity and Specificity</w:t>
      </w:r>
    </w:p>
    <w:p w14:paraId="44CB1991" w14:textId="77777777" w:rsidR="00C57C2D" w:rsidRPr="00C57C2D" w:rsidRDefault="00C57C2D" w:rsidP="00C57C2D">
      <w:pPr>
        <w:spacing w:after="120"/>
        <w:rPr>
          <w:rFonts w:ascii="Arial" w:eastAsia="Times New Roman" w:hAnsi="Arial" w:cs="Arial"/>
          <w:color w:val="1B1C1D"/>
        </w:rPr>
      </w:pPr>
      <w:r w:rsidRPr="00C57C2D">
        <w:rPr>
          <w:rFonts w:ascii="Arial" w:eastAsia="Times New Roman" w:hAnsi="Arial" w:cs="Arial"/>
          <w:color w:val="1B1C1D"/>
        </w:rPr>
        <w:t>T-cell antigen recognition represents a fundamental process within the adaptive immune system, orchestrating defense against intracellular pathogens and abnormal cells. This intricate process hinges on the ability of T cells to achieve a critical balance: detecting rare foreign threats while simultaneously avoiding detrimental responses against the host's own tissues. This section introduces the core concepts of sensitivity and specificity in this immunological context and the inherent challenges involved.</w:t>
      </w:r>
    </w:p>
    <w:p w14:paraId="3EA0A877" w14:textId="77777777" w:rsidR="00C57C2D" w:rsidRPr="00C57C2D" w:rsidRDefault="00C57C2D" w:rsidP="00C57C2D">
      <w:pPr>
        <w:numPr>
          <w:ilvl w:val="0"/>
          <w:numId w:val="1"/>
        </w:numPr>
        <w:rPr>
          <w:rFonts w:ascii="Arial" w:eastAsia="Times New Roman" w:hAnsi="Arial" w:cs="Arial"/>
          <w:color w:val="1B1C1D"/>
        </w:rPr>
      </w:pPr>
      <w:r w:rsidRPr="00C57C2D">
        <w:rPr>
          <w:rFonts w:ascii="Arial" w:eastAsia="Times New Roman" w:hAnsi="Arial" w:cs="Arial"/>
          <w:b/>
          <w:bCs/>
          <w:color w:val="1B1C1D"/>
          <w:bdr w:val="none" w:sz="0" w:space="0" w:color="auto" w:frame="1"/>
        </w:rPr>
        <w:t>1.1. Defining Sensitivity and Specificity in Immunological Context</w:t>
      </w:r>
    </w:p>
    <w:p w14:paraId="346BC070"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color w:val="1B1C1D"/>
        </w:rPr>
        <w:t xml:space="preserve">In the realm of T-cell recognition, </w:t>
      </w:r>
      <w:r w:rsidRPr="00C57C2D">
        <w:rPr>
          <w:rFonts w:ascii="Arial" w:eastAsia="Times New Roman" w:hAnsi="Arial" w:cs="Arial"/>
          <w:b/>
          <w:bCs/>
          <w:color w:val="1B1C1D"/>
          <w:bdr w:val="none" w:sz="0" w:space="0" w:color="auto" w:frame="1"/>
        </w:rPr>
        <w:t>sensitivity</w:t>
      </w:r>
      <w:r w:rsidRPr="00C57C2D">
        <w:rPr>
          <w:rFonts w:ascii="Arial" w:eastAsia="Times New Roman" w:hAnsi="Arial" w:cs="Arial"/>
          <w:color w:val="1B1C1D"/>
        </w:rPr>
        <w:t xml:space="preserve"> refers to the T cell's capacity to detect and respond effectively to very low concentrations of foreign peptide-MHC (pMHC) complexes, sometimes as few as 1-10 molecules on the surface of an antigen-presenting cell (APC).</w:t>
      </w:r>
      <w:r w:rsidRPr="00C57C2D">
        <w:rPr>
          <w:rFonts w:ascii="Arial" w:eastAsia="Times New Roman" w:hAnsi="Arial" w:cs="Arial"/>
          <w:color w:val="575B5F"/>
          <w:bdr w:val="none" w:sz="0" w:space="0" w:color="auto" w:frame="1"/>
          <w:vertAlign w:val="superscript"/>
        </w:rPr>
        <w:t>1</w:t>
      </w:r>
      <w:r w:rsidRPr="00C57C2D">
        <w:rPr>
          <w:rFonts w:ascii="Arial" w:eastAsia="Times New Roman" w:hAnsi="Arial" w:cs="Arial"/>
          <w:color w:val="1B1C1D"/>
        </w:rPr>
        <w:t xml:space="preserve"> This high degree of sensitivity is crucial for the early detection of nascent infections or malignant transformations. Conversely, </w:t>
      </w:r>
    </w:p>
    <w:p w14:paraId="24C24F0C"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b/>
          <w:bCs/>
          <w:color w:val="1B1C1D"/>
          <w:bdr w:val="none" w:sz="0" w:space="0" w:color="auto" w:frame="1"/>
        </w:rPr>
        <w:t>specificity</w:t>
      </w:r>
      <w:r w:rsidRPr="00C57C2D">
        <w:rPr>
          <w:rFonts w:ascii="Arial" w:eastAsia="Times New Roman" w:hAnsi="Arial" w:cs="Arial"/>
          <w:color w:val="1B1C1D"/>
        </w:rPr>
        <w:t xml:space="preserve"> denotes the T cell's ability to precisely differentiate between foreign (agonist) pMHC ligands, which should trigger an immune response, and the vastly more abundant self (non-agonist) pMHC ligands, which should not.</w:t>
      </w:r>
      <w:r w:rsidRPr="00C57C2D">
        <w:rPr>
          <w:rFonts w:ascii="Arial" w:eastAsia="Times New Roman" w:hAnsi="Arial" w:cs="Arial"/>
          <w:color w:val="575B5F"/>
          <w:bdr w:val="none" w:sz="0" w:space="0" w:color="auto" w:frame="1"/>
          <w:vertAlign w:val="superscript"/>
        </w:rPr>
        <w:t>2</w:t>
      </w:r>
      <w:r w:rsidRPr="00C57C2D">
        <w:rPr>
          <w:rFonts w:ascii="Arial" w:eastAsia="Times New Roman" w:hAnsi="Arial" w:cs="Arial"/>
          <w:color w:val="1B1C1D"/>
        </w:rPr>
        <w:t xml:space="preserve"> This discrimination prevents off-target activation and the ensuing damage to host tissues.</w:t>
      </w:r>
    </w:p>
    <w:p w14:paraId="4D5F4857"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color w:val="1B1C1D"/>
        </w:rPr>
        <w:t>The immune system operates under a fundamental requirement to achieve a delicate balance between these two attributes. High sensitivity is indispensable for mounting timely and effective immune responses against pathogens or cancerous cells, ensuring their rapid clearance. Simultaneously, exquisite specificity is vital to prevent autoimmune reactions, where the immune system erroneously targets and attacks the body's own healthy cells and tissues.</w:t>
      </w:r>
      <w:r w:rsidRPr="00C57C2D">
        <w:rPr>
          <w:rFonts w:ascii="Arial" w:eastAsia="Times New Roman" w:hAnsi="Arial" w:cs="Arial"/>
          <w:color w:val="575B5F"/>
          <w:bdr w:val="none" w:sz="0" w:space="0" w:color="auto" w:frame="1"/>
          <w:vertAlign w:val="superscript"/>
        </w:rPr>
        <w:t>4</w:t>
      </w:r>
      <w:r w:rsidRPr="00C57C2D">
        <w:rPr>
          <w:rFonts w:ascii="Arial" w:eastAsia="Times New Roman" w:hAnsi="Arial" w:cs="Arial"/>
          <w:color w:val="1B1C1D"/>
        </w:rPr>
        <w:t xml:space="preserve"> The </w:t>
      </w:r>
      <w:r w:rsidRPr="00C57C2D">
        <w:rPr>
          <w:rFonts w:ascii="Arial" w:eastAsia="Times New Roman" w:hAnsi="Arial" w:cs="Arial"/>
          <w:color w:val="1B1C1D"/>
        </w:rPr>
        <w:lastRenderedPageBreak/>
        <w:t>ability to discriminate between "true" positives (pathogens) and "false" positives (self-antigens) is a continuous challenge.</w:t>
      </w:r>
    </w:p>
    <w:p w14:paraId="5B67084C"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color w:val="1B1C1D"/>
        </w:rPr>
        <w:t>This balancing act is not merely a biological design choice but a profound evolutionary constraint. The penalties for mis-identification are severe: failure to detect pathogens can lead to mortality or morbidity from infectious diseases, while mis-identification of host components can result in immunopathology or debilitating autoimmune conditions.</w:t>
      </w:r>
      <w:r w:rsidRPr="00C57C2D">
        <w:rPr>
          <w:rFonts w:ascii="Arial" w:eastAsia="Times New Roman" w:hAnsi="Arial" w:cs="Arial"/>
          <w:color w:val="575B5F"/>
          <w:bdr w:val="none" w:sz="0" w:space="0" w:color="auto" w:frame="1"/>
          <w:vertAlign w:val="superscript"/>
        </w:rPr>
        <w:t>5</w:t>
      </w:r>
      <w:r w:rsidRPr="00C57C2D">
        <w:rPr>
          <w:rFonts w:ascii="Arial" w:eastAsia="Times New Roman" w:hAnsi="Arial" w:cs="Arial"/>
          <w:color w:val="1B1C1D"/>
        </w:rPr>
        <w:t xml:space="preserve"> The mechanisms observed in T-cell recognition are therefore sophisticated solutions to a complex optimization problem, constantly adapting to various selection pressures. Understanding this inherent trade-off is critical for the development of targeted therapeutic interventions, as enhancing one aspect (e.g., boosting sensitivity for cancer immunotherapy) could inadvertently compromise the other (e.g., inducing autoimmunity).</w:t>
      </w:r>
    </w:p>
    <w:p w14:paraId="1AB62B85" w14:textId="77777777" w:rsidR="00C57C2D" w:rsidRPr="00C57C2D" w:rsidRDefault="00C57C2D" w:rsidP="00C57C2D">
      <w:pPr>
        <w:numPr>
          <w:ilvl w:val="0"/>
          <w:numId w:val="1"/>
        </w:numPr>
        <w:rPr>
          <w:rFonts w:ascii="Arial" w:eastAsia="Times New Roman" w:hAnsi="Arial" w:cs="Arial"/>
          <w:color w:val="1B1C1D"/>
        </w:rPr>
      </w:pPr>
      <w:r w:rsidRPr="00C57C2D">
        <w:rPr>
          <w:rFonts w:ascii="Arial" w:eastAsia="Times New Roman" w:hAnsi="Arial" w:cs="Arial"/>
          <w:b/>
          <w:bCs/>
          <w:color w:val="1B1C1D"/>
          <w:bdr w:val="none" w:sz="0" w:space="0" w:color="auto" w:frame="1"/>
        </w:rPr>
        <w:t>1.2. The Fundamental Challenge: Discriminating Foreign Pathogens from Self-Antigens</w:t>
      </w:r>
    </w:p>
    <w:p w14:paraId="59B053F9"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color w:val="1B1C1D"/>
        </w:rPr>
        <w:t>A distinguishing feature of T-cell antigen recognition, contrasting sharply with B cell recognition, is its reliance on Major Histocompatibility Complex (MHC) molecules. Unlike B cells, which directly bind to intact, soluble antigens, T cells exclusively recognize foreign antigens in the form of processed peptide fragments presented within the groove of MHC molecules on the surface of host cells.</w:t>
      </w:r>
      <w:r w:rsidRPr="00C57C2D">
        <w:rPr>
          <w:rFonts w:ascii="Arial" w:eastAsia="Times New Roman" w:hAnsi="Arial" w:cs="Arial"/>
          <w:color w:val="575B5F"/>
          <w:bdr w:val="none" w:sz="0" w:space="0" w:color="auto" w:frame="1"/>
          <w:vertAlign w:val="superscript"/>
        </w:rPr>
        <w:t>3</w:t>
      </w:r>
      <w:r w:rsidRPr="00C57C2D">
        <w:rPr>
          <w:rFonts w:ascii="Arial" w:eastAsia="Times New Roman" w:hAnsi="Arial" w:cs="Arial"/>
          <w:color w:val="1B1C1D"/>
        </w:rPr>
        <w:t xml:space="preserve"> This fundamental difference means that a T cell's ligand is always a composite of a foreign peptide and a "self" component—the MHC molecule itself.</w:t>
      </w:r>
      <w:r w:rsidRPr="00C57C2D">
        <w:rPr>
          <w:rFonts w:ascii="Arial" w:eastAsia="Times New Roman" w:hAnsi="Arial" w:cs="Arial"/>
          <w:color w:val="575B5F"/>
          <w:bdr w:val="none" w:sz="0" w:space="0" w:color="auto" w:frame="1"/>
          <w:vertAlign w:val="superscript"/>
        </w:rPr>
        <w:t>8</w:t>
      </w:r>
    </w:p>
    <w:p w14:paraId="5C925C4F"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color w:val="1B1C1D"/>
        </w:rPr>
        <w:t>The process begins with the internalization and processing of pathogen proteins into small peptide fragments. These fragments then bind to MHC molecules, which subsequently transport and display them on the cell surface for T-cell surveillance. This antigen processing is essential because many antigenic sequences are initially buried within the native, folded structure of the protein and are therefore inaccessible for direct TCR recognition.</w:t>
      </w:r>
      <w:r w:rsidRPr="00C57C2D">
        <w:rPr>
          <w:rFonts w:ascii="Arial" w:eastAsia="Times New Roman" w:hAnsi="Arial" w:cs="Arial"/>
          <w:color w:val="575B5F"/>
          <w:bdr w:val="none" w:sz="0" w:space="0" w:color="auto" w:frame="1"/>
          <w:vertAlign w:val="superscript"/>
        </w:rPr>
        <w:t>6</w:t>
      </w:r>
    </w:p>
    <w:p w14:paraId="75EC2F44"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color w:val="1B1C1D"/>
        </w:rPr>
        <w:t>T cells are broadly categorized into two main subsets based on their co-receptor expression and the class of MHC molecule they recognize. CD4+ T cells, often referred to as helper T cells, recognize peptides presented by MHC class II molecules, which are typically expressed by professional antigen-presenting cells (APCs) such as dendritic cells, macrophages, and B cells.</w:t>
      </w:r>
      <w:r w:rsidRPr="00C57C2D">
        <w:rPr>
          <w:rFonts w:ascii="Arial" w:eastAsia="Times New Roman" w:hAnsi="Arial" w:cs="Arial"/>
          <w:color w:val="575B5F"/>
          <w:bdr w:val="none" w:sz="0" w:space="0" w:color="auto" w:frame="1"/>
          <w:vertAlign w:val="superscript"/>
        </w:rPr>
        <w:t>3</w:t>
      </w:r>
      <w:r w:rsidRPr="00C57C2D">
        <w:rPr>
          <w:rFonts w:ascii="Arial" w:eastAsia="Times New Roman" w:hAnsi="Arial" w:cs="Arial"/>
          <w:color w:val="1B1C1D"/>
        </w:rPr>
        <w:t xml:space="preserve"> In contrast, CD8+ T cells, or cytotoxic T lymphocytes (CTLs), recognize peptides presented by MHC class I molecules, which are expressed on nearly all nucleated cells in the body.</w:t>
      </w:r>
      <w:r w:rsidRPr="00C57C2D">
        <w:rPr>
          <w:rFonts w:ascii="Arial" w:eastAsia="Times New Roman" w:hAnsi="Arial" w:cs="Arial"/>
          <w:color w:val="575B5F"/>
          <w:bdr w:val="none" w:sz="0" w:space="0" w:color="auto" w:frame="1"/>
          <w:vertAlign w:val="superscript"/>
        </w:rPr>
        <w:t>3</w:t>
      </w:r>
      <w:r w:rsidRPr="00C57C2D">
        <w:rPr>
          <w:rFonts w:ascii="Arial" w:eastAsia="Times New Roman" w:hAnsi="Arial" w:cs="Arial"/>
          <w:color w:val="1B1C1D"/>
        </w:rPr>
        <w:t xml:space="preserve"> This differential expression pattern dictates the types of cells that each T-cell subset can survey and respond to, allowing for targeted immune responses against intracellular pathogens (MHC class I) or extracellular pathogens internalized by APCs (MHC class II).</w:t>
      </w:r>
    </w:p>
    <w:p w14:paraId="00DE4B7A"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color w:val="1B1C1D"/>
        </w:rPr>
        <w:t xml:space="preserve">The requirement for antigen presentation within the context of self-MHC is not merely a binding mechanism; it is a fundamental constraint that inherently contributes to T-cell specificity. By mandating antigen processing and presentation by self-MHC, the immune system avoids direct recognition of free-floating foreign molecules, as B cells do. Instead, T cells are focused on detecting cellular abnormalities, such as those arising from viral infection or </w:t>
      </w:r>
      <w:r w:rsidRPr="00C57C2D">
        <w:rPr>
          <w:rFonts w:ascii="Arial" w:eastAsia="Times New Roman" w:hAnsi="Arial" w:cs="Arial"/>
          <w:color w:val="1B1C1D"/>
        </w:rPr>
        <w:lastRenderedPageBreak/>
        <w:t>cancerous transformation. This "self-MHC restriction" acts as a primary filter, significantly narrowing the universe of potential targets for T cells and making the complex task of discriminating between self and non-self more manageable from the very outset of recognition.</w:t>
      </w:r>
      <w:r w:rsidRPr="00C57C2D">
        <w:rPr>
          <w:rFonts w:ascii="Arial" w:eastAsia="Times New Roman" w:hAnsi="Arial" w:cs="Arial"/>
          <w:color w:val="575B5F"/>
          <w:bdr w:val="none" w:sz="0" w:space="0" w:color="auto" w:frame="1"/>
          <w:vertAlign w:val="superscript"/>
        </w:rPr>
        <w:t>3</w:t>
      </w:r>
    </w:p>
    <w:p w14:paraId="6B023FE4" w14:textId="77777777" w:rsidR="00C57C2D" w:rsidRPr="00C57C2D" w:rsidRDefault="00C57C2D" w:rsidP="00C57C2D">
      <w:pPr>
        <w:outlineLvl w:val="2"/>
        <w:rPr>
          <w:rFonts w:ascii="Arial" w:eastAsia="Times New Roman" w:hAnsi="Arial" w:cs="Arial"/>
          <w:b/>
          <w:bCs/>
          <w:color w:val="1B1C1D"/>
        </w:rPr>
      </w:pPr>
      <w:r w:rsidRPr="00C57C2D">
        <w:rPr>
          <w:rFonts w:ascii="Arial" w:eastAsia="Times New Roman" w:hAnsi="Arial" w:cs="Arial"/>
          <w:b/>
          <w:bCs/>
          <w:color w:val="1B1C1D"/>
          <w:bdr w:val="none" w:sz="0" w:space="0" w:color="auto" w:frame="1"/>
        </w:rPr>
        <w:t>2. The Critical Importance of Sensitivity and Specificity in Immune Homeostasis and Defense</w:t>
      </w:r>
    </w:p>
    <w:p w14:paraId="5059ECFD" w14:textId="77777777" w:rsidR="00C57C2D" w:rsidRPr="00C57C2D" w:rsidRDefault="00C57C2D" w:rsidP="00C57C2D">
      <w:pPr>
        <w:spacing w:after="120"/>
        <w:rPr>
          <w:rFonts w:ascii="Arial" w:eastAsia="Times New Roman" w:hAnsi="Arial" w:cs="Arial"/>
          <w:color w:val="1B1C1D"/>
        </w:rPr>
      </w:pPr>
      <w:r w:rsidRPr="00C57C2D">
        <w:rPr>
          <w:rFonts w:ascii="Arial" w:eastAsia="Times New Roman" w:hAnsi="Arial" w:cs="Arial"/>
          <w:color w:val="1B1C1D"/>
        </w:rPr>
        <w:t>The precise tuning of T-cell sensitivity and specificity is not merely an academic curiosity; it is absolutely vital for maintaining the delicate balance of immune homeostasis and ensuring effective defense against a myriad of threats. Dysregulation in either parameter can have profound and often devastating consequences for the host.</w:t>
      </w:r>
    </w:p>
    <w:p w14:paraId="24E57F27" w14:textId="77777777" w:rsidR="00C57C2D" w:rsidRPr="00C57C2D" w:rsidRDefault="00C57C2D" w:rsidP="00C57C2D">
      <w:pPr>
        <w:numPr>
          <w:ilvl w:val="0"/>
          <w:numId w:val="2"/>
        </w:numPr>
        <w:rPr>
          <w:rFonts w:ascii="Arial" w:eastAsia="Times New Roman" w:hAnsi="Arial" w:cs="Arial"/>
          <w:color w:val="1B1C1D"/>
        </w:rPr>
      </w:pPr>
      <w:r w:rsidRPr="00C57C2D">
        <w:rPr>
          <w:rFonts w:ascii="Arial" w:eastAsia="Times New Roman" w:hAnsi="Arial" w:cs="Arial"/>
          <w:b/>
          <w:bCs/>
          <w:color w:val="1B1C1D"/>
          <w:bdr w:val="none" w:sz="0" w:space="0" w:color="auto" w:frame="1"/>
        </w:rPr>
        <w:t>2.1. Preventing Autoimmunity and Immunopathology</w:t>
      </w:r>
    </w:p>
    <w:p w14:paraId="134BBB76"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color w:val="1B1C1D"/>
        </w:rPr>
        <w:t>The ability of T cells to accurately distinguish self from non-self is paramount for organismal health. Defects in the intricate mechanisms that govern T-cell tolerance can lead to severe autoimmune diseases, conditions where the immune system mistakenly attacks the body's own healthy tissues.</w:t>
      </w:r>
      <w:r w:rsidRPr="00C57C2D">
        <w:rPr>
          <w:rFonts w:ascii="Arial" w:eastAsia="Times New Roman" w:hAnsi="Arial" w:cs="Arial"/>
          <w:color w:val="575B5F"/>
          <w:bdr w:val="none" w:sz="0" w:space="0" w:color="auto" w:frame="1"/>
          <w:vertAlign w:val="superscript"/>
        </w:rPr>
        <w:t>4</w:t>
      </w:r>
      <w:r w:rsidRPr="00C57C2D">
        <w:rPr>
          <w:rFonts w:ascii="Arial" w:eastAsia="Times New Roman" w:hAnsi="Arial" w:cs="Arial"/>
          <w:color w:val="1B1C1D"/>
        </w:rPr>
        <w:t xml:space="preserve"> For instance, dysregulation of T-cell specificity can result in T-cell hyperactivation, directly contributing to the pathogenesis of autoimmune conditions.</w:t>
      </w:r>
      <w:r w:rsidRPr="00C57C2D">
        <w:rPr>
          <w:rFonts w:ascii="Arial" w:eastAsia="Times New Roman" w:hAnsi="Arial" w:cs="Arial"/>
          <w:color w:val="575B5F"/>
          <w:bdr w:val="none" w:sz="0" w:space="0" w:color="auto" w:frame="1"/>
          <w:vertAlign w:val="superscript"/>
        </w:rPr>
        <w:t>10</w:t>
      </w:r>
      <w:r w:rsidRPr="00C57C2D">
        <w:rPr>
          <w:rFonts w:ascii="Arial" w:eastAsia="Times New Roman" w:hAnsi="Arial" w:cs="Arial"/>
          <w:color w:val="1B1C1D"/>
        </w:rPr>
        <w:t xml:space="preserve"> The immune system rigorously purges self-reactive T cells during their development to prevent such detrimental responses.</w:t>
      </w:r>
      <w:r w:rsidRPr="00C57C2D">
        <w:rPr>
          <w:rFonts w:ascii="Arial" w:eastAsia="Times New Roman" w:hAnsi="Arial" w:cs="Arial"/>
          <w:color w:val="575B5F"/>
          <w:bdr w:val="none" w:sz="0" w:space="0" w:color="auto" w:frame="1"/>
          <w:vertAlign w:val="superscript"/>
        </w:rPr>
        <w:t>8</w:t>
      </w:r>
    </w:p>
    <w:p w14:paraId="5B634B7F"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color w:val="1B1C1D"/>
        </w:rPr>
        <w:t>Beyond overt autoimmunity, inappropriate or excessive T-cell responses to pathogens can inflict significant collateral damage on host tissues, a phenomenon known as immunopathology. The immune system must strike a delicate balance between effectively clearing a pathogen and minimizing harm to the host.</w:t>
      </w:r>
      <w:r w:rsidRPr="00C57C2D">
        <w:rPr>
          <w:rFonts w:ascii="Arial" w:eastAsia="Times New Roman" w:hAnsi="Arial" w:cs="Arial"/>
          <w:color w:val="575B5F"/>
          <w:bdr w:val="none" w:sz="0" w:space="0" w:color="auto" w:frame="1"/>
          <w:vertAlign w:val="superscript"/>
        </w:rPr>
        <w:t>5</w:t>
      </w:r>
      <w:r w:rsidRPr="00C57C2D">
        <w:rPr>
          <w:rFonts w:ascii="Arial" w:eastAsia="Times New Roman" w:hAnsi="Arial" w:cs="Arial"/>
          <w:color w:val="1B1C1D"/>
        </w:rPr>
        <w:t xml:space="preserve"> The consequences of T-cell dysregulation extend to immunodeficiency, characterized by an increased susceptibility to recurrent and severe infections, as well as a heightened risk of developing certain cancers.</w:t>
      </w:r>
      <w:r w:rsidRPr="00C57C2D">
        <w:rPr>
          <w:rFonts w:ascii="Arial" w:eastAsia="Times New Roman" w:hAnsi="Arial" w:cs="Arial"/>
          <w:color w:val="575B5F"/>
          <w:bdr w:val="none" w:sz="0" w:space="0" w:color="auto" w:frame="1"/>
          <w:vertAlign w:val="superscript"/>
        </w:rPr>
        <w:t>11</w:t>
      </w:r>
      <w:r w:rsidRPr="00C57C2D">
        <w:rPr>
          <w:rFonts w:ascii="Arial" w:eastAsia="Times New Roman" w:hAnsi="Arial" w:cs="Arial"/>
          <w:color w:val="1B1C1D"/>
        </w:rPr>
        <w:t xml:space="preserve"> These observations underscore the critical need for T cells to be both highly specific and appropriately sensitive.</w:t>
      </w:r>
    </w:p>
    <w:p w14:paraId="0B5438BB"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color w:val="1B1C1D"/>
        </w:rPr>
        <w:t>The inherent ability of a single T-cell receptor to bind multiple peptide-MHC complexes, known as cross-reactivity, has been described as a "double-edged sword".</w:t>
      </w:r>
      <w:r w:rsidRPr="00C57C2D">
        <w:rPr>
          <w:rFonts w:ascii="Arial" w:eastAsia="Times New Roman" w:hAnsi="Arial" w:cs="Arial"/>
          <w:color w:val="575B5F"/>
          <w:bdr w:val="none" w:sz="0" w:space="0" w:color="auto" w:frame="1"/>
          <w:vertAlign w:val="superscript"/>
        </w:rPr>
        <w:t>9</w:t>
      </w:r>
      <w:r w:rsidRPr="00C57C2D">
        <w:rPr>
          <w:rFonts w:ascii="Arial" w:eastAsia="Times New Roman" w:hAnsi="Arial" w:cs="Arial"/>
          <w:color w:val="1B1C1D"/>
        </w:rPr>
        <w:t xml:space="preserve"> While beneficial for expanding the immune system's coverage of diverse pathogens, this very property carries the intrinsic risk of recognizing self-antigens and triggering autoimmunity. This highlights a fundamental tension: the evolutionary pressure for broad protection, which is partly achieved through cross-reactivity, directly conflicts with the absolute necessity for self-tolerance. The existence of extensive and multi-layered tolerance mechanisms, both central and peripheral, is a direct consequence of this inherent risk. These mechanisms are not simply error correction systems; they are integral components designed to manage the intrinsic risks of a highly diverse and cross-reactive T-cell repertoire, allowing the benefits of cross-reactivity to be harnessed without leading to catastrophic self-destruction.</w:t>
      </w:r>
    </w:p>
    <w:p w14:paraId="39111F7F" w14:textId="77777777" w:rsidR="00C57C2D" w:rsidRPr="00C57C2D" w:rsidRDefault="00C57C2D" w:rsidP="00C57C2D">
      <w:pPr>
        <w:numPr>
          <w:ilvl w:val="0"/>
          <w:numId w:val="2"/>
        </w:numPr>
        <w:rPr>
          <w:rFonts w:ascii="Arial" w:eastAsia="Times New Roman" w:hAnsi="Arial" w:cs="Arial"/>
          <w:color w:val="1B1C1D"/>
        </w:rPr>
      </w:pPr>
      <w:r w:rsidRPr="00C57C2D">
        <w:rPr>
          <w:rFonts w:ascii="Arial" w:eastAsia="Times New Roman" w:hAnsi="Arial" w:cs="Arial"/>
          <w:b/>
          <w:bCs/>
          <w:color w:val="1B1C1D"/>
          <w:bdr w:val="none" w:sz="0" w:space="0" w:color="auto" w:frame="1"/>
        </w:rPr>
        <w:t>2.2. Ensuring Robust Responses to Pathogens and Malignancies</w:t>
      </w:r>
    </w:p>
    <w:p w14:paraId="60F22280"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color w:val="1B1C1D"/>
        </w:rPr>
        <w:t xml:space="preserve">High T-cell sensitivity is essential for initiating robust immune responses. It ensures that even a few infected cells or tumor cells expressing foreign or neoantigens can trigger a potent and effective immune response, leading to the </w:t>
      </w:r>
      <w:r w:rsidRPr="00C57C2D">
        <w:rPr>
          <w:rFonts w:ascii="Arial" w:eastAsia="Times New Roman" w:hAnsi="Arial" w:cs="Arial"/>
          <w:color w:val="1B1C1D"/>
        </w:rPr>
        <w:lastRenderedPageBreak/>
        <w:t>successful clearance of pathogens or eradication of malignant cells.</w:t>
      </w:r>
      <w:r w:rsidRPr="00C57C2D">
        <w:rPr>
          <w:rFonts w:ascii="Arial" w:eastAsia="Times New Roman" w:hAnsi="Arial" w:cs="Arial"/>
          <w:color w:val="575B5F"/>
          <w:bdr w:val="none" w:sz="0" w:space="0" w:color="auto" w:frame="1"/>
          <w:vertAlign w:val="superscript"/>
        </w:rPr>
        <w:t>7</w:t>
      </w:r>
      <w:r w:rsidRPr="00C57C2D">
        <w:rPr>
          <w:rFonts w:ascii="Arial" w:eastAsia="Times New Roman" w:hAnsi="Arial" w:cs="Arial"/>
          <w:color w:val="1B1C1D"/>
        </w:rPr>
        <w:t xml:space="preserve"> The capacity of antigen-specific T cells to respond effectively to antigenic challenge is a vital component of immune system function, holding powerful potential for disease eradication, particularly in the context of cancer and infectious diseases.</w:t>
      </w:r>
      <w:r w:rsidRPr="00C57C2D">
        <w:rPr>
          <w:rFonts w:ascii="Arial" w:eastAsia="Times New Roman" w:hAnsi="Arial" w:cs="Arial"/>
          <w:color w:val="575B5F"/>
          <w:bdr w:val="none" w:sz="0" w:space="0" w:color="auto" w:frame="1"/>
          <w:vertAlign w:val="superscript"/>
        </w:rPr>
        <w:t>7</w:t>
      </w:r>
    </w:p>
    <w:p w14:paraId="442280C3"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color w:val="1B1C1D"/>
        </w:rPr>
        <w:t>The adaptive immune system achieves broad protective capacity through the generation of a vast number of antigen receptor specificities. This extensive repertoire allows an individual to recognize and respond to a wide array of pathogens encountered throughout a lifetime.</w:t>
      </w:r>
      <w:r w:rsidRPr="00C57C2D">
        <w:rPr>
          <w:rFonts w:ascii="Arial" w:eastAsia="Times New Roman" w:hAnsi="Arial" w:cs="Arial"/>
          <w:color w:val="575B5F"/>
          <w:bdr w:val="none" w:sz="0" w:space="0" w:color="auto" w:frame="1"/>
          <w:vertAlign w:val="superscript"/>
        </w:rPr>
        <w:t>4</w:t>
      </w:r>
      <w:r w:rsidRPr="00C57C2D">
        <w:rPr>
          <w:rFonts w:ascii="Arial" w:eastAsia="Times New Roman" w:hAnsi="Arial" w:cs="Arial"/>
          <w:color w:val="1B1C1D"/>
        </w:rPr>
        <w:t xml:space="preserve"> While conventional understanding often emphasizes the role of high-affinity T cells in driving immune responses, recent evidence indicates that lower-affinity T cells are also critical components and active participants in the immune response.</w:t>
      </w:r>
      <w:r w:rsidRPr="00C57C2D">
        <w:rPr>
          <w:rFonts w:ascii="Arial" w:eastAsia="Times New Roman" w:hAnsi="Arial" w:cs="Arial"/>
          <w:color w:val="575B5F"/>
          <w:bdr w:val="none" w:sz="0" w:space="0" w:color="auto" w:frame="1"/>
          <w:vertAlign w:val="superscript"/>
        </w:rPr>
        <w:t>13</w:t>
      </w:r>
      <w:r w:rsidRPr="00C57C2D">
        <w:rPr>
          <w:rFonts w:ascii="Arial" w:eastAsia="Times New Roman" w:hAnsi="Arial" w:cs="Arial"/>
          <w:color w:val="1B1C1D"/>
        </w:rPr>
        <w:t xml:space="preserve"> These lower-affinity clones have overlapping and distinct roles compared to their high-affinity counterparts. They are crucial for maintaining affinity diversity within the T-cell repertoire, a factor essential for the overall homeostasis of the immune system and for providing broad protection, especially against diverse or rapidly mutating pathogens.</w:t>
      </w:r>
      <w:r w:rsidRPr="00C57C2D">
        <w:rPr>
          <w:rFonts w:ascii="Arial" w:eastAsia="Times New Roman" w:hAnsi="Arial" w:cs="Arial"/>
          <w:color w:val="575B5F"/>
          <w:bdr w:val="none" w:sz="0" w:space="0" w:color="auto" w:frame="1"/>
          <w:vertAlign w:val="superscript"/>
        </w:rPr>
        <w:t>4</w:t>
      </w:r>
    </w:p>
    <w:p w14:paraId="7AB280C5" w14:textId="77777777" w:rsidR="00C57C2D" w:rsidRPr="00C57C2D" w:rsidRDefault="00C57C2D" w:rsidP="00C57C2D">
      <w:pPr>
        <w:spacing w:after="120"/>
        <w:ind w:left="720"/>
        <w:rPr>
          <w:rFonts w:ascii="Arial" w:eastAsia="Times New Roman" w:hAnsi="Arial" w:cs="Arial"/>
          <w:color w:val="1B1C1D"/>
        </w:rPr>
      </w:pPr>
      <w:r w:rsidRPr="00C57C2D">
        <w:rPr>
          <w:rFonts w:ascii="Arial" w:eastAsia="Times New Roman" w:hAnsi="Arial" w:cs="Arial"/>
          <w:color w:val="1B1C1D"/>
        </w:rPr>
        <w:t>This observation challenges a simplistic view that only the strongest signals or highest-affinity interactions yield the best immune responses. Instead, it suggests a more nuanced strategy where the immune system maintains a broad spectrum of TCR affinities. This breadth allows for greater adaptability against diverse and evolving pathogens, and potentially, for fine-tuning responses to prevent excessive inflammation. This implies that the immune system optimizes for robustness and adaptability across a wide range of antigenic challenges, rather than solely for maximal potency against a single, ideal target. Such an understanding has significant implications for therapeutic strategies, including vaccine design and adoptive T-cell therapies, suggesting that focusing exclusively on high-affinity TCRs might overlook crucial aspects of a comprehensive and effective immune response.</w:t>
      </w:r>
    </w:p>
    <w:p w14:paraId="2D02EDCB" w14:textId="77777777" w:rsidR="00C57C2D" w:rsidRPr="00C57C2D" w:rsidRDefault="00C57C2D" w:rsidP="00C57C2D">
      <w:pPr>
        <w:numPr>
          <w:ilvl w:val="0"/>
          <w:numId w:val="2"/>
        </w:numPr>
        <w:rPr>
          <w:rFonts w:ascii="Arial" w:eastAsia="Times New Roman" w:hAnsi="Arial" w:cs="Arial"/>
          <w:color w:val="1B1C1D"/>
        </w:rPr>
      </w:pPr>
      <w:r w:rsidRPr="00C57C2D">
        <w:rPr>
          <w:rFonts w:ascii="Arial" w:eastAsia="Times New Roman" w:hAnsi="Arial" w:cs="Arial"/>
          <w:b/>
          <w:bCs/>
          <w:color w:val="1B1C1D"/>
          <w:bdr w:val="none" w:sz="0" w:space="0" w:color="auto" w:frame="1"/>
        </w:rPr>
        <w:t>2.3. The Inherent Trade-off: Balancing Protection and Self-Tolerance</w:t>
      </w:r>
    </w:p>
    <w:p w14:paraId="646951B2"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color w:val="1B1C1D"/>
        </w:rPr>
        <w:t>The immune system inherently faces a fundamental trade-off between sensitivity and specificity when confronted with pathogens. This dilemma can be conceptualized as operating with a "cutoff threshold" for T-cell activation. Adjusting this threshold directly influences the probabilities of two critical outcomes: false negatives (failure to detect a pathogen when present) and false positives (reacting to self-antigens).</w:t>
      </w:r>
      <w:r w:rsidRPr="00C57C2D">
        <w:rPr>
          <w:rFonts w:ascii="Arial" w:eastAsia="Times New Roman" w:hAnsi="Arial" w:cs="Arial"/>
          <w:color w:val="575B5F"/>
          <w:bdr w:val="none" w:sz="0" w:space="0" w:color="auto" w:frame="1"/>
          <w:vertAlign w:val="superscript"/>
        </w:rPr>
        <w:t>5</w:t>
      </w:r>
    </w:p>
    <w:p w14:paraId="37700869"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color w:val="1B1C1D"/>
        </w:rPr>
        <w:t>The evolutionary pressures shaping this balance are acute. The optimal setting of this threshold is determined by a continuous weighing of the risks associated with the pathogen (i.e., the importance of true positives, or sensitivity) against the risks associated with immunopathology (due to false positives).</w:t>
      </w:r>
      <w:r w:rsidRPr="00C57C2D">
        <w:rPr>
          <w:rFonts w:ascii="Arial" w:eastAsia="Times New Roman" w:hAnsi="Arial" w:cs="Arial"/>
          <w:color w:val="575B5F"/>
          <w:bdr w:val="none" w:sz="0" w:space="0" w:color="auto" w:frame="1"/>
          <w:vertAlign w:val="superscript"/>
        </w:rPr>
        <w:t>5</w:t>
      </w:r>
      <w:r w:rsidRPr="00C57C2D">
        <w:rPr>
          <w:rFonts w:ascii="Arial" w:eastAsia="Times New Roman" w:hAnsi="Arial" w:cs="Arial"/>
          <w:color w:val="1B1C1D"/>
        </w:rPr>
        <w:t xml:space="preserve"> For instance, a high-mortality pathogen might exert selection pressure for increased sensitivity, even at the cost of some specificity, to ensure host survival. Conversely, in environments with lower pathogen risk, a greater emphasis might be placed on specificity to minimize autoimmune disease.</w:t>
      </w:r>
    </w:p>
    <w:p w14:paraId="5FFF6974"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color w:val="1B1C1D"/>
        </w:rPr>
        <w:t xml:space="preserve">Interestingly, this balance is not static. Studies suggest that the optimal sensitivity can increase with higher pathogen mortality risk and decrease with increased immunopathology risk. Furthermore, optimal sensitivity may decrease with </w:t>
      </w:r>
      <w:r w:rsidRPr="00C57C2D">
        <w:rPr>
          <w:rFonts w:ascii="Arial" w:eastAsia="Times New Roman" w:hAnsi="Arial" w:cs="Arial"/>
          <w:color w:val="1B1C1D"/>
        </w:rPr>
        <w:lastRenderedPageBreak/>
        <w:t>increasing lifespan and at later ages, even independently of immunosenescence.</w:t>
      </w:r>
      <w:r w:rsidRPr="00C57C2D">
        <w:rPr>
          <w:rFonts w:ascii="Arial" w:eastAsia="Times New Roman" w:hAnsi="Arial" w:cs="Arial"/>
          <w:color w:val="575B5F"/>
          <w:bdr w:val="none" w:sz="0" w:space="0" w:color="auto" w:frame="1"/>
          <w:vertAlign w:val="superscript"/>
        </w:rPr>
        <w:t>5</w:t>
      </w:r>
      <w:r w:rsidRPr="00C57C2D">
        <w:rPr>
          <w:rFonts w:ascii="Arial" w:eastAsia="Times New Roman" w:hAnsi="Arial" w:cs="Arial"/>
          <w:color w:val="1B1C1D"/>
        </w:rPr>
        <w:t xml:space="preserve"> This indicates that the sensitivity-specificity balance is not a fixed parameter but is dynamically optimized, shaped by the organism's life history, environmental challenges, and age. This suggests that immune responses are not universally tuned but are adaptively modulated. For example, an immune system confronting a highly lethal pathogen might temporarily shift towards higher sensitivity, accepting a greater risk of off-target activation, to ensure immediate survival. Conversely, in a relatively low-threat environment, the system might prioritize specificity to minimize the long-term risk of autoimmune disease. This dynamic tuning represents a sophisticated evolutionary adaptation, allowing the immune system to adjust its operational parameters based on prevailing threats and life-stage considerations.</w:t>
      </w:r>
    </w:p>
    <w:p w14:paraId="647D61A7" w14:textId="77777777" w:rsidR="00C57C2D" w:rsidRPr="00C57C2D" w:rsidRDefault="00C57C2D" w:rsidP="00C57C2D">
      <w:pPr>
        <w:outlineLvl w:val="2"/>
        <w:rPr>
          <w:rFonts w:ascii="Arial" w:eastAsia="Times New Roman" w:hAnsi="Arial" w:cs="Arial"/>
          <w:b/>
          <w:bCs/>
          <w:color w:val="1B1C1D"/>
        </w:rPr>
      </w:pPr>
      <w:r w:rsidRPr="00C57C2D">
        <w:rPr>
          <w:rFonts w:ascii="Arial" w:eastAsia="Times New Roman" w:hAnsi="Arial" w:cs="Arial"/>
          <w:b/>
          <w:bCs/>
          <w:color w:val="1B1C1D"/>
          <w:bdr w:val="none" w:sz="0" w:space="0" w:color="auto" w:frame="1"/>
        </w:rPr>
        <w:t>3. Molecular and Cellular Mechanisms Achieving T-cell Sensitivity and Specificity</w:t>
      </w:r>
    </w:p>
    <w:p w14:paraId="39182DB1" w14:textId="77777777" w:rsidR="00C57C2D" w:rsidRPr="00C57C2D" w:rsidRDefault="00C57C2D" w:rsidP="00C57C2D">
      <w:pPr>
        <w:spacing w:after="120"/>
        <w:rPr>
          <w:rFonts w:ascii="Arial" w:eastAsia="Times New Roman" w:hAnsi="Arial" w:cs="Arial"/>
          <w:color w:val="1B1C1D"/>
        </w:rPr>
      </w:pPr>
      <w:r w:rsidRPr="00C57C2D">
        <w:rPr>
          <w:rFonts w:ascii="Arial" w:eastAsia="Times New Roman" w:hAnsi="Arial" w:cs="Arial"/>
          <w:color w:val="1B1C1D"/>
        </w:rPr>
        <w:t>The remarkable capacity of T cells to achieve both high sensitivity and exquisite specificity is not the result of a single, isolated mechanism. Instead, it arises from a sophisticated, multi-layered, and interconnected biological system that operates from the molecular level of receptor-ligand interactions to systemic tolerance checkpoints.</w:t>
      </w:r>
    </w:p>
    <w:p w14:paraId="6F9DB9F6" w14:textId="77777777" w:rsidR="00C57C2D" w:rsidRPr="00C57C2D" w:rsidRDefault="00C57C2D" w:rsidP="00C57C2D">
      <w:pPr>
        <w:numPr>
          <w:ilvl w:val="0"/>
          <w:numId w:val="3"/>
        </w:numPr>
        <w:rPr>
          <w:rFonts w:ascii="Arial" w:eastAsia="Times New Roman" w:hAnsi="Arial" w:cs="Arial"/>
          <w:color w:val="1B1C1D"/>
        </w:rPr>
      </w:pPr>
      <w:r w:rsidRPr="00C57C2D">
        <w:rPr>
          <w:rFonts w:ascii="Arial" w:eastAsia="Times New Roman" w:hAnsi="Arial" w:cs="Arial"/>
          <w:b/>
          <w:bCs/>
          <w:color w:val="1B1C1D"/>
          <w:bdr w:val="none" w:sz="0" w:space="0" w:color="auto" w:frame="1"/>
        </w:rPr>
        <w:t>3.1. TCR-MHC Interaction: The Foundation of Specificity</w:t>
      </w:r>
    </w:p>
    <w:p w14:paraId="10F40A55"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color w:val="1B1C1D"/>
        </w:rPr>
        <w:t>The T-cell receptor (TCR) is a heterodimeric protein, typically composed of alpha (α) and beta (β) chains, though a minority of T cells express gamma (γ) and delta (δ) chains.</w:t>
      </w:r>
      <w:r w:rsidRPr="00C57C2D">
        <w:rPr>
          <w:rFonts w:ascii="Arial" w:eastAsia="Times New Roman" w:hAnsi="Arial" w:cs="Arial"/>
          <w:color w:val="575B5F"/>
          <w:bdr w:val="none" w:sz="0" w:space="0" w:color="auto" w:frame="1"/>
          <w:vertAlign w:val="superscript"/>
        </w:rPr>
        <w:t>3</w:t>
      </w:r>
      <w:r w:rsidRPr="00C57C2D">
        <w:rPr>
          <w:rFonts w:ascii="Arial" w:eastAsia="Times New Roman" w:hAnsi="Arial" w:cs="Arial"/>
          <w:color w:val="1B1C1D"/>
        </w:rPr>
        <w:t xml:space="preserve"> Structurally, the αβ TCR bears a resemblance to a Fab fragment of an antibody.</w:t>
      </w:r>
      <w:r w:rsidRPr="00C57C2D">
        <w:rPr>
          <w:rFonts w:ascii="Arial" w:eastAsia="Times New Roman" w:hAnsi="Arial" w:cs="Arial"/>
          <w:color w:val="575B5F"/>
          <w:bdr w:val="none" w:sz="0" w:space="0" w:color="auto" w:frame="1"/>
          <w:vertAlign w:val="superscript"/>
        </w:rPr>
        <w:t>3</w:t>
      </w:r>
      <w:r w:rsidRPr="00C57C2D">
        <w:rPr>
          <w:rFonts w:ascii="Arial" w:eastAsia="Times New Roman" w:hAnsi="Arial" w:cs="Arial"/>
          <w:color w:val="1B1C1D"/>
        </w:rPr>
        <w:t xml:space="preserve"> However, its mode of antigen recognition is fundamentally distinct from that of B-cell receptors or antibodies, which typically bind directly to intact, folded protein antigens.</w:t>
      </w:r>
      <w:r w:rsidRPr="00C57C2D">
        <w:rPr>
          <w:rFonts w:ascii="Arial" w:eastAsia="Times New Roman" w:hAnsi="Arial" w:cs="Arial"/>
          <w:color w:val="575B5F"/>
          <w:bdr w:val="none" w:sz="0" w:space="0" w:color="auto" w:frame="1"/>
          <w:vertAlign w:val="superscript"/>
        </w:rPr>
        <w:t>6</w:t>
      </w:r>
    </w:p>
    <w:p w14:paraId="7D3D0B02"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color w:val="1B1C1D"/>
        </w:rPr>
        <w:t>The TCR recognizes a composite ligand: a foreign peptide nestled within the binding groove of a Major Histocompatibility Complex (MHC) molecule.</w:t>
      </w:r>
      <w:r w:rsidRPr="00C57C2D">
        <w:rPr>
          <w:rFonts w:ascii="Arial" w:eastAsia="Times New Roman" w:hAnsi="Arial" w:cs="Arial"/>
          <w:color w:val="575B5F"/>
          <w:bdr w:val="none" w:sz="0" w:space="0" w:color="auto" w:frame="1"/>
          <w:vertAlign w:val="superscript"/>
        </w:rPr>
        <w:t>6</w:t>
      </w:r>
      <w:r w:rsidRPr="00C57C2D">
        <w:rPr>
          <w:rFonts w:ascii="Arial" w:eastAsia="Times New Roman" w:hAnsi="Arial" w:cs="Arial"/>
          <w:color w:val="1B1C1D"/>
        </w:rPr>
        <w:t xml:space="preserve"> This interaction is highly specific. The complementarity-determining region 3 (CDR3) loops of the TCR are primarily responsible for recognizing the processed antigenic peptide, forming the central part of the antigen-binding site and exhibiting high variability.</w:t>
      </w:r>
      <w:r w:rsidRPr="00C57C2D">
        <w:rPr>
          <w:rFonts w:ascii="Arial" w:eastAsia="Times New Roman" w:hAnsi="Arial" w:cs="Arial"/>
          <w:color w:val="575B5F"/>
          <w:bdr w:val="none" w:sz="0" w:space="0" w:color="auto" w:frame="1"/>
          <w:vertAlign w:val="superscript"/>
        </w:rPr>
        <w:t>3</w:t>
      </w:r>
      <w:r w:rsidRPr="00C57C2D">
        <w:rPr>
          <w:rFonts w:ascii="Arial" w:eastAsia="Times New Roman" w:hAnsi="Arial" w:cs="Arial"/>
          <w:color w:val="1B1C1D"/>
        </w:rPr>
        <w:t xml:space="preserve"> Other CDRs, particularly CDR1, interact with the conserved MHC molecule itself.</w:t>
      </w:r>
      <w:r w:rsidRPr="00C57C2D">
        <w:rPr>
          <w:rFonts w:ascii="Arial" w:eastAsia="Times New Roman" w:hAnsi="Arial" w:cs="Arial"/>
          <w:color w:val="575B5F"/>
          <w:bdr w:val="none" w:sz="0" w:space="0" w:color="auto" w:frame="1"/>
          <w:vertAlign w:val="superscript"/>
        </w:rPr>
        <w:t>3</w:t>
      </w:r>
    </w:p>
    <w:p w14:paraId="29DC4B68"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color w:val="1B1C1D"/>
        </w:rPr>
        <w:t>This unique binding geometry, where the TCR is "pre-tuned" to recognize a conserved MHC framework with only a smaller, variable region dedicated to the peptide, inherently limits the universe of potential ligands to those presented by MHC.</w:t>
      </w:r>
      <w:r w:rsidRPr="00C57C2D">
        <w:rPr>
          <w:rFonts w:ascii="Arial" w:eastAsia="Times New Roman" w:hAnsi="Arial" w:cs="Arial"/>
          <w:color w:val="575B5F"/>
          <w:bdr w:val="none" w:sz="0" w:space="0" w:color="auto" w:frame="1"/>
          <w:vertAlign w:val="superscript"/>
        </w:rPr>
        <w:t>8</w:t>
      </w:r>
      <w:r w:rsidRPr="00C57C2D">
        <w:rPr>
          <w:rFonts w:ascii="Arial" w:eastAsia="Times New Roman" w:hAnsi="Arial" w:cs="Arial"/>
          <w:color w:val="1B1C1D"/>
        </w:rPr>
        <w:t xml:space="preserve"> This structural pre-commitment to MHC molecules is a fundamental design principle that restricts T-cell recognition to cell-associated antigens. This mechanism significantly minimizes the risk of reacting to soluble self-proteins, thereby contributing substantially to self-tolerance from the initial point of recognition. It is not merely </w:t>
      </w:r>
    </w:p>
    <w:p w14:paraId="03459C0B"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i/>
          <w:iCs/>
          <w:color w:val="1B1C1D"/>
          <w:bdr w:val="none" w:sz="0" w:space="0" w:color="auto" w:frame="1"/>
        </w:rPr>
        <w:t>what</w:t>
      </w:r>
      <w:r w:rsidRPr="00C57C2D">
        <w:rPr>
          <w:rFonts w:ascii="Arial" w:eastAsia="Times New Roman" w:hAnsi="Arial" w:cs="Arial"/>
          <w:color w:val="1B1C1D"/>
        </w:rPr>
        <w:t xml:space="preserve"> the TCR binds, but </w:t>
      </w:r>
      <w:r w:rsidRPr="00C57C2D">
        <w:rPr>
          <w:rFonts w:ascii="Arial" w:eastAsia="Times New Roman" w:hAnsi="Arial" w:cs="Arial"/>
          <w:i/>
          <w:iCs/>
          <w:color w:val="1B1C1D"/>
          <w:bdr w:val="none" w:sz="0" w:space="0" w:color="auto" w:frame="1"/>
        </w:rPr>
        <w:t>how</w:t>
      </w:r>
      <w:r w:rsidRPr="00C57C2D">
        <w:rPr>
          <w:rFonts w:ascii="Arial" w:eastAsia="Times New Roman" w:hAnsi="Arial" w:cs="Arial"/>
          <w:color w:val="1B1C1D"/>
        </w:rPr>
        <w:t xml:space="preserve"> it binds, that enforces this critical layer of specificity.</w:t>
      </w:r>
    </w:p>
    <w:p w14:paraId="207FFB82" w14:textId="77777777" w:rsidR="00C57C2D" w:rsidRPr="00C57C2D" w:rsidRDefault="00C57C2D" w:rsidP="00C57C2D">
      <w:pPr>
        <w:numPr>
          <w:ilvl w:val="0"/>
          <w:numId w:val="3"/>
        </w:numPr>
        <w:rPr>
          <w:rFonts w:ascii="Arial" w:eastAsia="Times New Roman" w:hAnsi="Arial" w:cs="Arial"/>
          <w:color w:val="1B1C1D"/>
        </w:rPr>
      </w:pPr>
      <w:r w:rsidRPr="00C57C2D">
        <w:rPr>
          <w:rFonts w:ascii="Arial" w:eastAsia="Times New Roman" w:hAnsi="Arial" w:cs="Arial"/>
          <w:b/>
          <w:bCs/>
          <w:color w:val="1B1C1D"/>
          <w:bdr w:val="none" w:sz="0" w:space="0" w:color="auto" w:frame="1"/>
        </w:rPr>
        <w:t>3.2. TCR Diversity Generation: Expanding the Repertoire</w:t>
      </w:r>
    </w:p>
    <w:p w14:paraId="68E075D4"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color w:val="1B1C1D"/>
        </w:rPr>
        <w:t xml:space="preserve">The immune system's ability to recognize a vast array of potential pathogens hinges on the immense diversity of T-cell receptors. This diversity is generated primarily through a process called somatic V(D)J recombination. During T-cell development, various gene segments (Variable, Diversity, Joining, and Constant) </w:t>
      </w:r>
      <w:r w:rsidRPr="00C57C2D">
        <w:rPr>
          <w:rFonts w:ascii="Arial" w:eastAsia="Times New Roman" w:hAnsi="Arial" w:cs="Arial"/>
          <w:color w:val="1B1C1D"/>
        </w:rPr>
        <w:lastRenderedPageBreak/>
        <w:t>are rearranged and recombined in individual somatic T cells, a mechanism analogous to that employed for antibody diversity.</w:t>
      </w:r>
      <w:r w:rsidRPr="00C57C2D">
        <w:rPr>
          <w:rFonts w:ascii="Arial" w:eastAsia="Times New Roman" w:hAnsi="Arial" w:cs="Arial"/>
          <w:color w:val="575B5F"/>
          <w:bdr w:val="none" w:sz="0" w:space="0" w:color="auto" w:frame="1"/>
          <w:vertAlign w:val="superscript"/>
        </w:rPr>
        <w:t>3</w:t>
      </w:r>
    </w:p>
    <w:p w14:paraId="0615416D"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color w:val="1B1C1D"/>
        </w:rPr>
        <w:t>Further diversification arises from the random addition of nucleotides, known as P-nucleotides (palindromic) and N-nucleotides (non-templated), at the junctions of the recombining gene segments.</w:t>
      </w:r>
      <w:r w:rsidRPr="00C57C2D">
        <w:rPr>
          <w:rFonts w:ascii="Arial" w:eastAsia="Times New Roman" w:hAnsi="Arial" w:cs="Arial"/>
          <w:color w:val="575B5F"/>
          <w:bdr w:val="none" w:sz="0" w:space="0" w:color="auto" w:frame="1"/>
          <w:vertAlign w:val="superscript"/>
        </w:rPr>
        <w:t>3</w:t>
      </w:r>
      <w:r w:rsidRPr="00C57C2D">
        <w:rPr>
          <w:rFonts w:ascii="Arial" w:eastAsia="Times New Roman" w:hAnsi="Arial" w:cs="Arial"/>
          <w:color w:val="1B1C1D"/>
        </w:rPr>
        <w:t xml:space="preserve"> This "junctional diversity" is particularly prominent in the CDR3 region, which forms the core of the antigen-binding site and contributes significantly to the TCR's unique specificity.</w:t>
      </w:r>
      <w:r w:rsidRPr="00C57C2D">
        <w:rPr>
          <w:rFonts w:ascii="Arial" w:eastAsia="Times New Roman" w:hAnsi="Arial" w:cs="Arial"/>
          <w:color w:val="575B5F"/>
          <w:bdr w:val="none" w:sz="0" w:space="0" w:color="auto" w:frame="1"/>
          <w:vertAlign w:val="superscript"/>
        </w:rPr>
        <w:t>3</w:t>
      </w:r>
      <w:r w:rsidRPr="00C57C2D">
        <w:rPr>
          <w:rFonts w:ascii="Arial" w:eastAsia="Times New Roman" w:hAnsi="Arial" w:cs="Arial"/>
          <w:color w:val="1B1C1D"/>
        </w:rPr>
        <w:t xml:space="preserve"> The combinatorial pairing of different alpha and beta (or gamma and delta) chains further expands the theoretical repertoire of possible TCR specificities.</w:t>
      </w:r>
      <w:r w:rsidRPr="00C57C2D">
        <w:rPr>
          <w:rFonts w:ascii="Arial" w:eastAsia="Times New Roman" w:hAnsi="Arial" w:cs="Arial"/>
          <w:color w:val="575B5F"/>
          <w:bdr w:val="none" w:sz="0" w:space="0" w:color="auto" w:frame="1"/>
          <w:vertAlign w:val="superscript"/>
        </w:rPr>
        <w:t>9</w:t>
      </w:r>
    </w:p>
    <w:p w14:paraId="787BAC4A"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color w:val="1B1C1D"/>
        </w:rPr>
        <w:t>While the theoretical TCR repertoire is estimated to be astronomically large, potentially reaching 10^19^-10^20^ unique specificities, the actual number of unique TCRs that successfully navigate thymic selection and form the mature T-cell repertoire is significantly smaller, estimated to be in the range of 10^8^-10^10^.</w:t>
      </w:r>
      <w:r w:rsidRPr="00C57C2D">
        <w:rPr>
          <w:rFonts w:ascii="Arial" w:eastAsia="Times New Roman" w:hAnsi="Arial" w:cs="Arial"/>
          <w:color w:val="575B5F"/>
          <w:bdr w:val="none" w:sz="0" w:space="0" w:color="auto" w:frame="1"/>
          <w:vertAlign w:val="superscript"/>
        </w:rPr>
        <w:t>9</w:t>
      </w:r>
      <w:r w:rsidRPr="00C57C2D">
        <w:rPr>
          <w:rFonts w:ascii="Arial" w:eastAsia="Times New Roman" w:hAnsi="Arial" w:cs="Arial"/>
          <w:color w:val="1B1C1D"/>
        </w:rPr>
        <w:t xml:space="preserve"> This disparity between the theoretical and functional repertoire, coupled with the even greater diversity of possible foreign antigens, presents a challenge. A "one-clonotype–one-specificity" paradigm, where each TCR recognizes only a single, unique antigen, would lead to a critical vulnerability in the adaptive immune barrier.</w:t>
      </w:r>
      <w:r w:rsidRPr="00C57C2D">
        <w:rPr>
          <w:rFonts w:ascii="Arial" w:eastAsia="Times New Roman" w:hAnsi="Arial" w:cs="Arial"/>
          <w:color w:val="575B5F"/>
          <w:bdr w:val="none" w:sz="0" w:space="0" w:color="auto" w:frame="1"/>
          <w:vertAlign w:val="superscript"/>
        </w:rPr>
        <w:t>9</w:t>
      </w:r>
    </w:p>
    <w:p w14:paraId="3B8D8DD7"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color w:val="1B1C1D"/>
        </w:rPr>
        <w:t>The solution to this repertoire gap lies in T-cell cross-reactivity, the ability of a single TCR to bind multiple peptide-MHC complexes, often with varying affinities.</w:t>
      </w:r>
      <w:r w:rsidRPr="00C57C2D">
        <w:rPr>
          <w:rFonts w:ascii="Arial" w:eastAsia="Times New Roman" w:hAnsi="Arial" w:cs="Arial"/>
          <w:color w:val="575B5F"/>
          <w:bdr w:val="none" w:sz="0" w:space="0" w:color="auto" w:frame="1"/>
          <w:vertAlign w:val="superscript"/>
        </w:rPr>
        <w:t>9</w:t>
      </w:r>
      <w:r w:rsidRPr="00C57C2D">
        <w:rPr>
          <w:rFonts w:ascii="Arial" w:eastAsia="Times New Roman" w:hAnsi="Arial" w:cs="Arial"/>
          <w:color w:val="1B1C1D"/>
        </w:rPr>
        <w:t xml:space="preserve"> This means that despite its immense genetic diversity, the immune system cannot generate a unique receptor for every conceivable antigen. Cross-reactivity is therefore not a flaw or an imprecision, but an essential evolutionary strategy to ensure broad coverage of the antigenic landscape with a finite number of T cells. This strategy, while beneficial for pathogen defense, simultaneously necessitates robust tolerance mechanisms to prevent detrimental self-recognition, highlighting the interconnectedness of these immune principles.</w:t>
      </w:r>
    </w:p>
    <w:p w14:paraId="40874DCB" w14:textId="77777777" w:rsidR="00C57C2D" w:rsidRPr="00C57C2D" w:rsidRDefault="00C57C2D" w:rsidP="00C57C2D">
      <w:pPr>
        <w:numPr>
          <w:ilvl w:val="0"/>
          <w:numId w:val="3"/>
        </w:numPr>
        <w:rPr>
          <w:rFonts w:ascii="Arial" w:eastAsia="Times New Roman" w:hAnsi="Arial" w:cs="Arial"/>
          <w:color w:val="1B1C1D"/>
        </w:rPr>
      </w:pPr>
      <w:r w:rsidRPr="00C57C2D">
        <w:rPr>
          <w:rFonts w:ascii="Arial" w:eastAsia="Times New Roman" w:hAnsi="Arial" w:cs="Arial"/>
          <w:b/>
          <w:bCs/>
          <w:color w:val="1B1C1D"/>
          <w:bdr w:val="none" w:sz="0" w:space="0" w:color="auto" w:frame="1"/>
        </w:rPr>
        <w:t>3.3. Kinetic Proofreading: Amplifying Subtle Differences in Ligand Dwell Time</w:t>
      </w:r>
    </w:p>
    <w:p w14:paraId="21C032AC"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color w:val="1B1C1D"/>
        </w:rPr>
        <w:t>A crucial mechanism by which T cells achieve their remarkable sensitivity and specificity is kinetic proofreading (KPR). This model posits that T cells discriminate between self and foreign peptides by converting subtle differences in the ligand-TCR binding half-life (or "dwell time") into dramatically larger differences in downstream cellular signaling.</w:t>
      </w:r>
      <w:r w:rsidRPr="00C57C2D">
        <w:rPr>
          <w:rFonts w:ascii="Arial" w:eastAsia="Times New Roman" w:hAnsi="Arial" w:cs="Arial"/>
          <w:color w:val="575B5F"/>
          <w:bdr w:val="none" w:sz="0" w:space="0" w:color="auto" w:frame="1"/>
          <w:vertAlign w:val="superscript"/>
        </w:rPr>
        <w:t>1</w:t>
      </w:r>
      <w:r w:rsidRPr="00C57C2D">
        <w:rPr>
          <w:rFonts w:ascii="Arial" w:eastAsia="Times New Roman" w:hAnsi="Arial" w:cs="Arial"/>
          <w:color w:val="1B1C1D"/>
        </w:rPr>
        <w:t xml:space="preserve"> Agonist pMHCs, which are foreign and should elicit a response, typically form more stable, longer-lived interactions with the TCR compared to self pMHCs, which are non-agonistic.</w:t>
      </w:r>
      <w:r w:rsidRPr="00C57C2D">
        <w:rPr>
          <w:rFonts w:ascii="Arial" w:eastAsia="Times New Roman" w:hAnsi="Arial" w:cs="Arial"/>
          <w:color w:val="575B5F"/>
          <w:bdr w:val="none" w:sz="0" w:space="0" w:color="auto" w:frame="1"/>
          <w:vertAlign w:val="superscript"/>
        </w:rPr>
        <w:t>1</w:t>
      </w:r>
    </w:p>
    <w:p w14:paraId="6564C6BA"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color w:val="1B1C1D"/>
        </w:rPr>
        <w:t>Historically, KPR was conceptualized as a sequential mechanism. In this model, after a ligand binds to the receptor, it must remain bound for a sufficient duration to allow the ligated receptor to undergo a series of slow, irreversible biochemical reactions, such as phosphorylation steps, before a signal is produced.</w:t>
      </w:r>
      <w:r w:rsidRPr="00C57C2D">
        <w:rPr>
          <w:rFonts w:ascii="Arial" w:eastAsia="Times New Roman" w:hAnsi="Arial" w:cs="Arial"/>
          <w:color w:val="575B5F"/>
          <w:bdr w:val="none" w:sz="0" w:space="0" w:color="auto" w:frame="1"/>
          <w:vertAlign w:val="superscript"/>
        </w:rPr>
        <w:t>1</w:t>
      </w:r>
      <w:r w:rsidRPr="00C57C2D">
        <w:rPr>
          <w:rFonts w:ascii="Arial" w:eastAsia="Times New Roman" w:hAnsi="Arial" w:cs="Arial"/>
          <w:color w:val="1B1C1D"/>
        </w:rPr>
        <w:t xml:space="preserve"> Only ligands that maintain their binding for this critical "waiting period" can complete these steps and generate a strong, productive signal. Short-lived interactions, characteristic of low-affinity self-ligands, dissociate prematurely, resulting in weak or no signaling.</w:t>
      </w:r>
      <w:r w:rsidRPr="00C57C2D">
        <w:rPr>
          <w:rFonts w:ascii="Arial" w:eastAsia="Times New Roman" w:hAnsi="Arial" w:cs="Arial"/>
          <w:color w:val="575B5F"/>
          <w:bdr w:val="none" w:sz="0" w:space="0" w:color="auto" w:frame="1"/>
          <w:vertAlign w:val="superscript"/>
        </w:rPr>
        <w:t>1</w:t>
      </w:r>
      <w:r w:rsidRPr="00C57C2D">
        <w:rPr>
          <w:rFonts w:ascii="Arial" w:eastAsia="Times New Roman" w:hAnsi="Arial" w:cs="Arial"/>
          <w:color w:val="1B1C1D"/>
        </w:rPr>
        <w:t xml:space="preserve"> This sequential process effectively filters out transient, non-specific interactions.</w:t>
      </w:r>
    </w:p>
    <w:p w14:paraId="6628AA08"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color w:val="1B1C1D"/>
        </w:rPr>
        <w:lastRenderedPageBreak/>
        <w:t>More recent investigations have proposed an alternative, more refined model: the "multi-thread scheme" or parallel reaction model.</w:t>
      </w:r>
      <w:r w:rsidRPr="00C57C2D">
        <w:rPr>
          <w:rFonts w:ascii="Arial" w:eastAsia="Times New Roman" w:hAnsi="Arial" w:cs="Arial"/>
          <w:color w:val="575B5F"/>
          <w:bdr w:val="none" w:sz="0" w:space="0" w:color="auto" w:frame="1"/>
          <w:vertAlign w:val="superscript"/>
        </w:rPr>
        <w:t>14</w:t>
      </w:r>
      <w:r w:rsidRPr="00C57C2D">
        <w:rPr>
          <w:rFonts w:ascii="Arial" w:eastAsia="Times New Roman" w:hAnsi="Arial" w:cs="Arial"/>
          <w:color w:val="1B1C1D"/>
        </w:rPr>
        <w:t xml:space="preserve"> This model incorporates key molecular features of TCR activation, such as the multiplicity of immunoreceptor tyrosine activation motifs (ITAMs) within the TCR-CD3 complex. In this scheme, the activation processes of multiple ITAM domains on a single TCR molecule represent parallel reaction sequences.</w:t>
      </w:r>
      <w:r w:rsidRPr="00C57C2D">
        <w:rPr>
          <w:rFonts w:ascii="Arial" w:eastAsia="Times New Roman" w:hAnsi="Arial" w:cs="Arial"/>
          <w:color w:val="575B5F"/>
          <w:bdr w:val="none" w:sz="0" w:space="0" w:color="auto" w:frame="1"/>
          <w:vertAlign w:val="superscript"/>
        </w:rPr>
        <w:t>14</w:t>
      </w:r>
      <w:r w:rsidRPr="00C57C2D">
        <w:rPr>
          <w:rFonts w:ascii="Arial" w:eastAsia="Times New Roman" w:hAnsi="Arial" w:cs="Arial"/>
          <w:color w:val="1B1C1D"/>
        </w:rPr>
        <w:t xml:space="preserve"> The states of these parallel proofreading reactions are then integrated, for example, through a discrete LAT (Linker for Activation of T cells) condensation event, to produce a binary output.</w:t>
      </w:r>
      <w:r w:rsidRPr="00C57C2D">
        <w:rPr>
          <w:rFonts w:ascii="Arial" w:eastAsia="Times New Roman" w:hAnsi="Arial" w:cs="Arial"/>
          <w:color w:val="575B5F"/>
          <w:bdr w:val="none" w:sz="0" w:space="0" w:color="auto" w:frame="1"/>
          <w:vertAlign w:val="superscript"/>
        </w:rPr>
        <w:t>14</w:t>
      </w:r>
      <w:r w:rsidRPr="00C57C2D">
        <w:rPr>
          <w:rFonts w:ascii="Arial" w:eastAsia="Times New Roman" w:hAnsi="Arial" w:cs="Arial"/>
          <w:color w:val="1B1C1D"/>
        </w:rPr>
        <w:t xml:space="preserve"> This parallel approach significantly improves discrimination fidelity and, importantly, alleviates the need for fine-tuned kinetics among chemically distinct reaction steps, which would pose a major hurdle for the physical implementation of a purely sequential mechanism.</w:t>
      </w:r>
      <w:r w:rsidRPr="00C57C2D">
        <w:rPr>
          <w:rFonts w:ascii="Arial" w:eastAsia="Times New Roman" w:hAnsi="Arial" w:cs="Arial"/>
          <w:color w:val="575B5F"/>
          <w:bdr w:val="none" w:sz="0" w:space="0" w:color="auto" w:frame="1"/>
          <w:vertAlign w:val="superscript"/>
        </w:rPr>
        <w:t>14</w:t>
      </w:r>
    </w:p>
    <w:p w14:paraId="410FD44A" w14:textId="77777777" w:rsidR="00C57C2D" w:rsidRPr="00C57C2D" w:rsidRDefault="00C57C2D" w:rsidP="00C57C2D">
      <w:pPr>
        <w:spacing w:after="120"/>
        <w:ind w:left="720"/>
        <w:rPr>
          <w:rFonts w:ascii="Arial" w:eastAsia="Times New Roman" w:hAnsi="Arial" w:cs="Arial"/>
          <w:color w:val="1B1C1D"/>
        </w:rPr>
      </w:pPr>
      <w:r w:rsidRPr="00C57C2D">
        <w:rPr>
          <w:rFonts w:ascii="Arial" w:eastAsia="Times New Roman" w:hAnsi="Arial" w:cs="Arial"/>
          <w:color w:val="1B1C1D"/>
        </w:rPr>
        <w:t>This shift from a purely sequential model to one incorporating parallel reactions represents a significant conceptual advancement. It suggests that the biological system has evolved a more robust and less kinetically constrained mechanism to achieve the necessary discrimination fidelity, allowing for greater flexibility and resilience in signaling. This indicates that the immune system's signaling machinery is designed not just for efficiency but also for robustness. By distributing the proofreading steps across parallel pathways, the system becomes less susceptible to noise or slight variations in individual reaction rates, ensuring reliable discrimination even under complex cellular conditions.</w:t>
      </w:r>
    </w:p>
    <w:p w14:paraId="174FFD7E"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color w:val="1B1C1D"/>
        </w:rPr>
        <w:t>The power of KPR lies in its ability to amplify subtle differences. For instance, a mere 10-fold difference in ligand binding half-life can be amplified into a dramatically larger, approximately 5,000-fold difference in downstream signaling, assuming the signaling pathway is not saturated.</w:t>
      </w:r>
      <w:r w:rsidRPr="00C57C2D">
        <w:rPr>
          <w:rFonts w:ascii="Arial" w:eastAsia="Times New Roman" w:hAnsi="Arial" w:cs="Arial"/>
          <w:color w:val="575B5F"/>
          <w:bdr w:val="none" w:sz="0" w:space="0" w:color="auto" w:frame="1"/>
          <w:vertAlign w:val="superscript"/>
        </w:rPr>
        <w:t>1</w:t>
      </w:r>
      <w:r w:rsidRPr="00C57C2D">
        <w:rPr>
          <w:rFonts w:ascii="Arial" w:eastAsia="Times New Roman" w:hAnsi="Arial" w:cs="Arial"/>
          <w:color w:val="1B1C1D"/>
        </w:rPr>
        <w:t xml:space="preserve"> This remarkable amplification capability is central to the T cell's ability to achieve both high sensitivity (responding to rare cognate ligands) and high selectivity (ignoring abundant self-ligands).</w:t>
      </w:r>
    </w:p>
    <w:p w14:paraId="72BC7FBF"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b/>
          <w:bCs/>
          <w:color w:val="1B1C1D"/>
          <w:bdr w:val="none" w:sz="0" w:space="0" w:color="auto" w:frame="1"/>
        </w:rPr>
        <w:t>Table 1: Comparison of Kinetic Proofreading Models and their Contribution to Sensitivity/Specificity</w:t>
      </w:r>
    </w:p>
    <w:tbl>
      <w:tblPr>
        <w:tblW w:w="0" w:type="auto"/>
        <w:tblCellSpacing w:w="15" w:type="dxa"/>
        <w:tblCellMar>
          <w:left w:w="0" w:type="dxa"/>
          <w:right w:w="0" w:type="dxa"/>
        </w:tblCellMar>
        <w:tblLook w:val="04A0" w:firstRow="1" w:lastRow="0" w:firstColumn="1" w:lastColumn="0" w:noHBand="0" w:noVBand="1"/>
      </w:tblPr>
      <w:tblGrid>
        <w:gridCol w:w="2145"/>
        <w:gridCol w:w="3944"/>
        <w:gridCol w:w="3255"/>
      </w:tblGrid>
      <w:tr w:rsidR="00C57C2D" w:rsidRPr="00C57C2D" w14:paraId="6C20C81B" w14:textId="77777777" w:rsidTr="00C57C2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7DAC56"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93317"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Sequential Kinetic Proofreading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9B6A6"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Multi-thread/Parallel Kinetic Proofreading Model</w:t>
            </w:r>
          </w:p>
        </w:tc>
      </w:tr>
      <w:tr w:rsidR="00C57C2D" w:rsidRPr="00C57C2D" w14:paraId="22C79EF1" w14:textId="77777777" w:rsidTr="00C57C2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9B0CA"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b/>
                <w:bCs/>
                <w:color w:val="1B1C1D"/>
                <w:sz w:val="21"/>
                <w:szCs w:val="21"/>
                <w:bdr w:val="none" w:sz="0" w:space="0" w:color="auto" w:frame="1"/>
              </w:rPr>
              <w:t>Core Concept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00E53"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Discrimination based on ligand dwell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250EE"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Discrimination based on ligand dwell time</w:t>
            </w:r>
          </w:p>
        </w:tc>
      </w:tr>
      <w:tr w:rsidR="00C57C2D" w:rsidRPr="00C57C2D" w14:paraId="6746D2F5" w14:textId="77777777" w:rsidTr="00C57C2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294D47"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b/>
                <w:bCs/>
                <w:color w:val="1B1C1D"/>
                <w:sz w:val="21"/>
                <w:szCs w:val="21"/>
                <w:bdr w:val="none" w:sz="0" w:space="0" w:color="auto" w:frame="1"/>
              </w:rPr>
              <w:t>Mechanism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8692CE"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Ligated receptor undergoes a series of slow, irreversible biochemical steps (e.g., phosphorylation) before signaling.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BAC5E6"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Multiple parallel reaction sequences (e.g., on ITAMs) are integrated to produce a signal.</w:t>
            </w:r>
          </w:p>
        </w:tc>
      </w:tr>
      <w:tr w:rsidR="00C57C2D" w:rsidRPr="00C57C2D" w14:paraId="17FC7825" w14:textId="77777777" w:rsidTr="00C57C2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7E902"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b/>
                <w:bCs/>
                <w:color w:val="1B1C1D"/>
                <w:sz w:val="21"/>
                <w:szCs w:val="21"/>
                <w:bdr w:val="none" w:sz="0" w:space="0" w:color="auto" w:frame="1"/>
              </w:rPr>
              <w:t>Key Molecular Players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2A9B2"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Hypothetical intermediate states (C1, C2...Cn)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505CD"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ITAMs, LAT condensation</w:t>
            </w:r>
          </w:p>
        </w:tc>
      </w:tr>
      <w:tr w:rsidR="00C57C2D" w:rsidRPr="00C57C2D" w14:paraId="06007398" w14:textId="77777777" w:rsidTr="00C57C2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9E1C8"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b/>
                <w:bCs/>
                <w:color w:val="1B1C1D"/>
                <w:sz w:val="21"/>
                <w:szCs w:val="21"/>
                <w:bdr w:val="none" w:sz="0" w:space="0" w:color="auto" w:frame="1"/>
              </w:rPr>
              <w:lastRenderedPageBreak/>
              <w:t>Discrimination Fidelity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7944A"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Achieved by the number of sequential steps; short-lived ligands dissociate before completion.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0C489"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Achieved by ITAM multiplicity and integration of parallel reactions.</w:t>
            </w:r>
          </w:p>
        </w:tc>
      </w:tr>
      <w:tr w:rsidR="00C57C2D" w:rsidRPr="00C57C2D" w14:paraId="23424589" w14:textId="77777777" w:rsidTr="00C57C2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F4E0E"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b/>
                <w:bCs/>
                <w:color w:val="1B1C1D"/>
                <w:sz w:val="21"/>
                <w:szCs w:val="21"/>
                <w:bdr w:val="none" w:sz="0" w:space="0" w:color="auto" w:frame="1"/>
              </w:rPr>
              <w:t>Kinetic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26600"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Requires fine-tuned kinetics among distinct reaction steps.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4FCB98"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Less stringent kinetic requirements; more robust to kinetic variations.</w:t>
            </w:r>
          </w:p>
        </w:tc>
      </w:tr>
      <w:tr w:rsidR="00C57C2D" w:rsidRPr="00C57C2D" w14:paraId="6520F378" w14:textId="77777777" w:rsidTr="00C57C2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25EE7"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b/>
                <w:bCs/>
                <w:color w:val="1B1C1D"/>
                <w:sz w:val="21"/>
                <w:szCs w:val="21"/>
                <w:bdr w:val="none" w:sz="0" w:space="0" w:color="auto" w:frame="1"/>
              </w:rPr>
              <w:t>Contribution to Sensitivity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AF9E5A"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Amplifies small differences in dwell time into large signal changes.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AEC1D"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Amplifies small differences in dwell time into large signal changes.</w:t>
            </w:r>
          </w:p>
        </w:tc>
      </w:tr>
      <w:tr w:rsidR="00C57C2D" w:rsidRPr="00C57C2D" w14:paraId="2ED8C02A" w14:textId="77777777" w:rsidTr="00C57C2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921C1"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b/>
                <w:bCs/>
                <w:color w:val="1B1C1D"/>
                <w:sz w:val="21"/>
                <w:szCs w:val="21"/>
                <w:bdr w:val="none" w:sz="0" w:space="0" w:color="auto" w:frame="1"/>
              </w:rPr>
              <w:t>Contribution to Specificity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0B6D1"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Ensures only long-lived, high-affinity interactions trigger strong signals.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23143"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Ensures only long-lived, high-affinity interactions trigger strong signals.</w:t>
            </w:r>
          </w:p>
        </w:tc>
      </w:tr>
    </w:tbl>
    <w:p w14:paraId="4C50E984" w14:textId="77777777" w:rsidR="00C57C2D" w:rsidRPr="00C57C2D" w:rsidRDefault="00C57C2D" w:rsidP="00C57C2D">
      <w:pPr>
        <w:numPr>
          <w:ilvl w:val="0"/>
          <w:numId w:val="4"/>
        </w:numPr>
        <w:rPr>
          <w:rFonts w:ascii="Arial" w:eastAsia="Times New Roman" w:hAnsi="Arial" w:cs="Arial"/>
          <w:color w:val="1B1C1D"/>
        </w:rPr>
      </w:pPr>
      <w:r w:rsidRPr="00C57C2D">
        <w:rPr>
          <w:rFonts w:ascii="Arial" w:eastAsia="Times New Roman" w:hAnsi="Arial" w:cs="Arial"/>
          <w:b/>
          <w:bCs/>
          <w:color w:val="1B1C1D"/>
          <w:bdr w:val="none" w:sz="0" w:space="0" w:color="auto" w:frame="1"/>
        </w:rPr>
        <w:t>3.4. Co-receptor (CD4/CD8) Engagement: Enhancing Sensitivity and Discrimination</w:t>
      </w:r>
    </w:p>
    <w:p w14:paraId="571B5A1F"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color w:val="1B1C1D"/>
        </w:rPr>
        <w:t>Beyond the TCR-pMHC interaction and kinetic proofreading, the engagement of co-receptors, CD4 or CD8, is typically required for efficient T-cell activation. These transmembrane glycoproteins bind to the same pMHC molecule recognized by the TCR, forming a crucial ternary complex (TCR-pMHC-CD4/CD8).</w:t>
      </w:r>
      <w:r w:rsidRPr="00C57C2D">
        <w:rPr>
          <w:rFonts w:ascii="Arial" w:eastAsia="Times New Roman" w:hAnsi="Arial" w:cs="Arial"/>
          <w:color w:val="575B5F"/>
          <w:bdr w:val="none" w:sz="0" w:space="0" w:color="auto" w:frame="1"/>
          <w:vertAlign w:val="superscript"/>
        </w:rPr>
        <w:t>2</w:t>
      </w:r>
      <w:r w:rsidRPr="00C57C2D">
        <w:rPr>
          <w:rFonts w:ascii="Arial" w:eastAsia="Times New Roman" w:hAnsi="Arial" w:cs="Arial"/>
          <w:color w:val="1B1C1D"/>
        </w:rPr>
        <w:t xml:space="preserve"> CD4 is expressed on helper T cells and regulatory T cells, recognizing MHC class II, while CD8 is expressed on cytotoxic T lymphocytes and CD8 regulatory T cells, recognizing MHC class I.</w:t>
      </w:r>
      <w:r w:rsidRPr="00C57C2D">
        <w:rPr>
          <w:rFonts w:ascii="Arial" w:eastAsia="Times New Roman" w:hAnsi="Arial" w:cs="Arial"/>
          <w:color w:val="575B5F"/>
          <w:bdr w:val="none" w:sz="0" w:space="0" w:color="auto" w:frame="1"/>
          <w:vertAlign w:val="superscript"/>
        </w:rPr>
        <w:t>15</w:t>
      </w:r>
    </w:p>
    <w:p w14:paraId="4F5D4A0D"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color w:val="1B1C1D"/>
        </w:rPr>
        <w:t>The principal role of CD4 and CD8 is to recruit the Src tyrosine kinase Lck (p65lck) to the TCR-pMHC complex.</w:t>
      </w:r>
      <w:r w:rsidRPr="00C57C2D">
        <w:rPr>
          <w:rFonts w:ascii="Arial" w:eastAsia="Times New Roman" w:hAnsi="Arial" w:cs="Arial"/>
          <w:color w:val="575B5F"/>
          <w:bdr w:val="none" w:sz="0" w:space="0" w:color="auto" w:frame="1"/>
          <w:vertAlign w:val="superscript"/>
        </w:rPr>
        <w:t>2</w:t>
      </w:r>
      <w:r w:rsidRPr="00C57C2D">
        <w:rPr>
          <w:rFonts w:ascii="Arial" w:eastAsia="Times New Roman" w:hAnsi="Arial" w:cs="Arial"/>
          <w:color w:val="1B1C1D"/>
        </w:rPr>
        <w:t xml:space="preserve"> Lck is constitutively associated with the cytoplasmic tails of CD4 or CD8. Upon co-receptor binding to MHC, the accompanying increase in the local concentration of Lck promotes the phosphorylation of immunoreceptor tyrosine activation motifs (ITAMs) located in the cytoplasmic tails of CD3 subunits, which are intimately associated with the TCR.</w:t>
      </w:r>
      <w:r w:rsidRPr="00C57C2D">
        <w:rPr>
          <w:rFonts w:ascii="Arial" w:eastAsia="Times New Roman" w:hAnsi="Arial" w:cs="Arial"/>
          <w:color w:val="575B5F"/>
          <w:bdr w:val="none" w:sz="0" w:space="0" w:color="auto" w:frame="1"/>
          <w:vertAlign w:val="superscript"/>
        </w:rPr>
        <w:t>2</w:t>
      </w:r>
      <w:r w:rsidRPr="00C57C2D">
        <w:rPr>
          <w:rFonts w:ascii="Arial" w:eastAsia="Times New Roman" w:hAnsi="Arial" w:cs="Arial"/>
          <w:color w:val="1B1C1D"/>
        </w:rPr>
        <w:t xml:space="preserve"> This phosphorylation event is a critical initiating step in the T-cell signaling cascade.</w:t>
      </w:r>
    </w:p>
    <w:p w14:paraId="48EEB90D"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color w:val="1B1C1D"/>
        </w:rPr>
        <w:t>Co-receptor engagement significantly enhances T-cell signaling and contributes to both sensitivity and discrimination. For instance, the interaction of CD4 with MHC class II greatly reduces the number of antigenic peptides required for T-cell activation and substantially increases cytokine production by helper T cells.</w:t>
      </w:r>
      <w:r w:rsidRPr="00C57C2D">
        <w:rPr>
          <w:rFonts w:ascii="Arial" w:eastAsia="Times New Roman" w:hAnsi="Arial" w:cs="Arial"/>
          <w:color w:val="575B5F"/>
          <w:bdr w:val="none" w:sz="0" w:space="0" w:color="auto" w:frame="1"/>
          <w:vertAlign w:val="superscript"/>
        </w:rPr>
        <w:t>2</w:t>
      </w:r>
      <w:r w:rsidRPr="00C57C2D">
        <w:rPr>
          <w:rFonts w:ascii="Arial" w:eastAsia="Times New Roman" w:hAnsi="Arial" w:cs="Arial"/>
          <w:color w:val="1B1C1D"/>
        </w:rPr>
        <w:t xml:space="preserve"> Similarly, the CD8-MHC class I interaction enhances the antigen sensitivity and response of cytotoxic T cells to pMHC ligands.</w:t>
      </w:r>
      <w:r w:rsidRPr="00C57C2D">
        <w:rPr>
          <w:rFonts w:ascii="Arial" w:eastAsia="Times New Roman" w:hAnsi="Arial" w:cs="Arial"/>
          <w:color w:val="575B5F"/>
          <w:bdr w:val="none" w:sz="0" w:space="0" w:color="auto" w:frame="1"/>
          <w:vertAlign w:val="superscript"/>
        </w:rPr>
        <w:t>2</w:t>
      </w:r>
    </w:p>
    <w:p w14:paraId="093E09E2"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color w:val="1B1C1D"/>
        </w:rPr>
        <w:t>Furthermore, beyond their primary role in Lck recruitment, CD8 (and likely CD4) can reinforce the TCR's binding to the pMHC ligand. This cooperative interaction generates synergy over the simple sum of individual TCR-pMHC and pMHC-co-receptor interactions, thereby amplifying peptide discrimination.</w:t>
      </w:r>
      <w:r w:rsidRPr="00C57C2D">
        <w:rPr>
          <w:rFonts w:ascii="Arial" w:eastAsia="Times New Roman" w:hAnsi="Arial" w:cs="Arial"/>
          <w:color w:val="575B5F"/>
          <w:bdr w:val="none" w:sz="0" w:space="0" w:color="auto" w:frame="1"/>
          <w:vertAlign w:val="superscript"/>
        </w:rPr>
        <w:t>2</w:t>
      </w:r>
      <w:r w:rsidRPr="00C57C2D">
        <w:rPr>
          <w:rFonts w:ascii="Arial" w:eastAsia="Times New Roman" w:hAnsi="Arial" w:cs="Arial"/>
          <w:color w:val="1B1C1D"/>
        </w:rPr>
        <w:t xml:space="preserve"> This order of engagement, where the TCR binds initially to pMHC and the co-receptor then binds to the same pMHC, ensures that the specific TCR-pMHC interaction </w:t>
      </w:r>
      <w:r w:rsidRPr="00C57C2D">
        <w:rPr>
          <w:rFonts w:ascii="Arial" w:eastAsia="Times New Roman" w:hAnsi="Arial" w:cs="Arial"/>
          <w:color w:val="1B1C1D"/>
        </w:rPr>
        <w:lastRenderedPageBreak/>
        <w:t>dominates T-cell recognition.</w:t>
      </w:r>
      <w:r w:rsidRPr="00C57C2D">
        <w:rPr>
          <w:rFonts w:ascii="Arial" w:eastAsia="Times New Roman" w:hAnsi="Arial" w:cs="Arial"/>
          <w:color w:val="575B5F"/>
          <w:bdr w:val="none" w:sz="0" w:space="0" w:color="auto" w:frame="1"/>
          <w:vertAlign w:val="superscript"/>
        </w:rPr>
        <w:t>15</w:t>
      </w:r>
      <w:r w:rsidRPr="00C57C2D">
        <w:rPr>
          <w:rFonts w:ascii="Arial" w:eastAsia="Times New Roman" w:hAnsi="Arial" w:cs="Arial"/>
          <w:color w:val="1B1C1D"/>
        </w:rPr>
        <w:t xml:space="preserve"> This suggests that co-receptors are not merely generic signal boosters; they actively contribute to specificity by stabilizing cognate TCR-pMHC interactions and ensuring that the initial, highly specific TCR engagement dictates the subsequent signaling cascade. They act as a "proof-of-concept" for the TCR's initial specific binding. This dual role means co-receptors enhance both sensitivity (by lowering the activation threshold) and specificity (by reinforcing and validating the specific TCR-pMHC bond), underscoring the intricate layering of mechanisms designed to achieve precise and potent immune responses.</w:t>
      </w:r>
    </w:p>
    <w:p w14:paraId="2C0DD4A1" w14:textId="77777777" w:rsidR="00C57C2D" w:rsidRPr="00C57C2D" w:rsidRDefault="00C57C2D" w:rsidP="00C57C2D">
      <w:pPr>
        <w:numPr>
          <w:ilvl w:val="0"/>
          <w:numId w:val="4"/>
        </w:numPr>
        <w:rPr>
          <w:rFonts w:ascii="Arial" w:eastAsia="Times New Roman" w:hAnsi="Arial" w:cs="Arial"/>
          <w:color w:val="1B1C1D"/>
        </w:rPr>
      </w:pPr>
      <w:r w:rsidRPr="00C57C2D">
        <w:rPr>
          <w:rFonts w:ascii="Arial" w:eastAsia="Times New Roman" w:hAnsi="Arial" w:cs="Arial"/>
          <w:b/>
          <w:bCs/>
          <w:color w:val="1B1C1D"/>
          <w:bdr w:val="none" w:sz="0" w:space="0" w:color="auto" w:frame="1"/>
        </w:rPr>
        <w:t>3.5. Intracellular Signal Amplification Pathways: Translating Receptor Engagement into Cellular Responses</w:t>
      </w:r>
    </w:p>
    <w:p w14:paraId="29A300CD"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color w:val="1B1C1D"/>
        </w:rPr>
        <w:t>The T-cell receptor itself possesses a very short cytoplasmic tail, rendering it incapable of directly propagating signals into the cell. Instead, it relies on its association with invariant CD3 subunit proteins (CD3δ, CD3γ, CD3ε, and CD3ζ) to form the octameric TCR-CD3 complex.</w:t>
      </w:r>
      <w:r w:rsidRPr="00C57C2D">
        <w:rPr>
          <w:rFonts w:ascii="Arial" w:eastAsia="Times New Roman" w:hAnsi="Arial" w:cs="Arial"/>
          <w:color w:val="575B5F"/>
          <w:bdr w:val="none" w:sz="0" w:space="0" w:color="auto" w:frame="1"/>
          <w:vertAlign w:val="superscript"/>
        </w:rPr>
        <w:t>3</w:t>
      </w:r>
      <w:r w:rsidRPr="00C57C2D">
        <w:rPr>
          <w:rFonts w:ascii="Arial" w:eastAsia="Times New Roman" w:hAnsi="Arial" w:cs="Arial"/>
          <w:color w:val="1B1C1D"/>
        </w:rPr>
        <w:t xml:space="preserve"> These CD3 subunits contain multiple immunoreceptor tyrosine activation motifs (ITAMs) in their cytoplasmic tails, which are the initial targets for phosphorylation upon TCR-pMHC engagement.</w:t>
      </w:r>
      <w:r w:rsidRPr="00C57C2D">
        <w:rPr>
          <w:rFonts w:ascii="Arial" w:eastAsia="Times New Roman" w:hAnsi="Arial" w:cs="Arial"/>
          <w:color w:val="575B5F"/>
          <w:bdr w:val="none" w:sz="0" w:space="0" w:color="auto" w:frame="1"/>
          <w:vertAlign w:val="superscript"/>
        </w:rPr>
        <w:t>3</w:t>
      </w:r>
    </w:p>
    <w:p w14:paraId="6D6289EB"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color w:val="1B1C1D"/>
        </w:rPr>
        <w:t>The phosphorylation of ITAMs by the recruited Lck kinase initiates the proximal signaling events. This phosphorylation creates docking sites for the Src homology 2 (SH2) domains of ZAP-70 (zeta-chain associated protein kinase 70), leading to its recruitment and activation.</w:t>
      </w:r>
      <w:r w:rsidRPr="00C57C2D">
        <w:rPr>
          <w:rFonts w:ascii="Arial" w:eastAsia="Times New Roman" w:hAnsi="Arial" w:cs="Arial"/>
          <w:color w:val="575B5F"/>
          <w:bdr w:val="none" w:sz="0" w:space="0" w:color="auto" w:frame="1"/>
          <w:vertAlign w:val="superscript"/>
        </w:rPr>
        <w:t>10</w:t>
      </w:r>
      <w:r w:rsidRPr="00C57C2D">
        <w:rPr>
          <w:rFonts w:ascii="Arial" w:eastAsia="Times New Roman" w:hAnsi="Arial" w:cs="Arial"/>
          <w:color w:val="1B1C1D"/>
        </w:rPr>
        <w:t xml:space="preserve"> Activated ZAP-70 then phosphorylates key adaptor proteins, notably LAT (Linker for Activation of T cells) and SLP-76 (Src homology 2 domain-containing leukocyte protein of 76 kDa).</w:t>
      </w:r>
      <w:r w:rsidRPr="00C57C2D">
        <w:rPr>
          <w:rFonts w:ascii="Arial" w:eastAsia="Times New Roman" w:hAnsi="Arial" w:cs="Arial"/>
          <w:color w:val="575B5F"/>
          <w:bdr w:val="none" w:sz="0" w:space="0" w:color="auto" w:frame="1"/>
          <w:vertAlign w:val="superscript"/>
        </w:rPr>
        <w:t>10</w:t>
      </w:r>
      <w:r w:rsidRPr="00C57C2D">
        <w:rPr>
          <w:rFonts w:ascii="Arial" w:eastAsia="Times New Roman" w:hAnsi="Arial" w:cs="Arial"/>
          <w:color w:val="1B1C1D"/>
        </w:rPr>
        <w:t xml:space="preserve"> These adaptor proteins serve as critical scaffolds, nucleating the formation of multi-molecular "signalosomes" that orchestrate the recruitment of numerous other signaling molecules and effector proteins.</w:t>
      </w:r>
      <w:r w:rsidRPr="00C57C2D">
        <w:rPr>
          <w:rFonts w:ascii="Arial" w:eastAsia="Times New Roman" w:hAnsi="Arial" w:cs="Arial"/>
          <w:color w:val="575B5F"/>
          <w:bdr w:val="none" w:sz="0" w:space="0" w:color="auto" w:frame="1"/>
          <w:vertAlign w:val="superscript"/>
        </w:rPr>
        <w:t>10</w:t>
      </w:r>
    </w:p>
    <w:p w14:paraId="7851E737"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color w:val="1B1C1D"/>
        </w:rPr>
        <w:t>This intricate assembly leads to the activation of downstream signaling cascades. A key event is the activation of PLCγ1 (phospholipase C gamma 1), which generates crucial second messengers, including inositol trisphosphate and diacylglycerol.</w:t>
      </w:r>
      <w:r w:rsidRPr="00C57C2D">
        <w:rPr>
          <w:rFonts w:ascii="Arial" w:eastAsia="Times New Roman" w:hAnsi="Arial" w:cs="Arial"/>
          <w:color w:val="575B5F"/>
          <w:bdr w:val="none" w:sz="0" w:space="0" w:color="auto" w:frame="1"/>
          <w:vertAlign w:val="superscript"/>
        </w:rPr>
        <w:t>10</w:t>
      </w:r>
      <w:r w:rsidRPr="00C57C2D">
        <w:rPr>
          <w:rFonts w:ascii="Arial" w:eastAsia="Times New Roman" w:hAnsi="Arial" w:cs="Arial"/>
          <w:color w:val="1B1C1D"/>
        </w:rPr>
        <w:t xml:space="preserve"> These second messengers, in turn, activate multiple distal signaling pathways, such as the Ca2+-calcineurin-NFAT pathway, the RasGRP1-Ras-Erk1/2 pathway, the PKCθ-IKK-NFκB pathway, and the TSC1/2-mTOR pathway.</w:t>
      </w:r>
      <w:r w:rsidRPr="00C57C2D">
        <w:rPr>
          <w:rFonts w:ascii="Arial" w:eastAsia="Times New Roman" w:hAnsi="Arial" w:cs="Arial"/>
          <w:color w:val="575B5F"/>
          <w:bdr w:val="none" w:sz="0" w:space="0" w:color="auto" w:frame="1"/>
          <w:vertAlign w:val="superscript"/>
        </w:rPr>
        <w:t>3</w:t>
      </w:r>
      <w:r w:rsidRPr="00C57C2D">
        <w:rPr>
          <w:rFonts w:ascii="Arial" w:eastAsia="Times New Roman" w:hAnsi="Arial" w:cs="Arial"/>
          <w:color w:val="1B1C1D"/>
        </w:rPr>
        <w:t xml:space="preserve"> These diverse pathways ultimately control various aspects of T-cell biology, including activation, proliferation, differentiation, and the production of cytokines and chemokines.</w:t>
      </w:r>
      <w:r w:rsidRPr="00C57C2D">
        <w:rPr>
          <w:rFonts w:ascii="Arial" w:eastAsia="Times New Roman" w:hAnsi="Arial" w:cs="Arial"/>
          <w:color w:val="575B5F"/>
          <w:bdr w:val="none" w:sz="0" w:space="0" w:color="auto" w:frame="1"/>
          <w:vertAlign w:val="superscript"/>
        </w:rPr>
        <w:t>10</w:t>
      </w:r>
    </w:p>
    <w:p w14:paraId="79202A14" w14:textId="77777777" w:rsidR="00C57C2D" w:rsidRPr="00C57C2D" w:rsidRDefault="00C57C2D" w:rsidP="00C57C2D">
      <w:pPr>
        <w:spacing w:after="120"/>
        <w:ind w:left="720"/>
        <w:rPr>
          <w:rFonts w:ascii="Arial" w:eastAsia="Times New Roman" w:hAnsi="Arial" w:cs="Arial"/>
          <w:color w:val="1B1C1D"/>
        </w:rPr>
      </w:pPr>
      <w:r w:rsidRPr="00C57C2D">
        <w:rPr>
          <w:rFonts w:ascii="Arial" w:eastAsia="Times New Roman" w:hAnsi="Arial" w:cs="Arial"/>
          <w:color w:val="1B1C1D"/>
        </w:rPr>
        <w:t xml:space="preserve">The descriptions of proximal signaling reveal a highly ordered, multi-step process involving sequential phosphorylation, recruitment of specific adaptor proteins, and the precise assembly of complex molecular scaffolds. This is not a simple linear amplification. The requirement for sequential phosphorylation and the formation of these intricate molecular complexes means that transient or weak TCR engagements are less likely to successfully propagate a full signal. Only sustained, specific interactions that allow for the complete assembly and activation of this intricate machinery will lead to robust downstream responses. This hierarchical organization acts as a molecular "AND" gate, ensuring that multiple conditions (sustained binding, correct phosphorylation, scaffold assembly) are met before full activation. This multi-layered signaling cascade </w:t>
      </w:r>
      <w:r w:rsidRPr="00C57C2D">
        <w:rPr>
          <w:rFonts w:ascii="Arial" w:eastAsia="Times New Roman" w:hAnsi="Arial" w:cs="Arial"/>
          <w:color w:val="1B1C1D"/>
        </w:rPr>
        <w:lastRenderedPageBreak/>
        <w:t>thus serves as an internal specificity filter, preventing spurious activation from low-affinity self-ligands by demanding a high threshold of sustained molecular interactions. This effectively translates the output of kinetic proofreading into a robust, binary cellular decision, contributing significantly to the system's ability to discriminate between true agonists and abundant non-agonists.</w:t>
      </w:r>
    </w:p>
    <w:p w14:paraId="61FB4044"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color w:val="1B1C1D"/>
        </w:rPr>
        <w:t>TCR signaling is tightly regulated at multiple levels to maintain T-cell homeostasis and self-tolerance, while simultaneously ensuring effective responses to microbial infections.</w:t>
      </w:r>
      <w:r w:rsidRPr="00C57C2D">
        <w:rPr>
          <w:rFonts w:ascii="Arial" w:eastAsia="Times New Roman" w:hAnsi="Arial" w:cs="Arial"/>
          <w:color w:val="575B5F"/>
          <w:bdr w:val="none" w:sz="0" w:space="0" w:color="auto" w:frame="1"/>
          <w:vertAlign w:val="superscript"/>
        </w:rPr>
        <w:t>10</w:t>
      </w:r>
      <w:r w:rsidRPr="00C57C2D">
        <w:rPr>
          <w:rFonts w:ascii="Arial" w:eastAsia="Times New Roman" w:hAnsi="Arial" w:cs="Arial"/>
          <w:color w:val="1B1C1D"/>
        </w:rPr>
        <w:t xml:space="preserve"> Dysregulation of these pathways can lead to T-cell hyperactivation and contribute to autoimmune diseases.</w:t>
      </w:r>
      <w:r w:rsidRPr="00C57C2D">
        <w:rPr>
          <w:rFonts w:ascii="Arial" w:eastAsia="Times New Roman" w:hAnsi="Arial" w:cs="Arial"/>
          <w:color w:val="575B5F"/>
          <w:bdr w:val="none" w:sz="0" w:space="0" w:color="auto" w:frame="1"/>
          <w:vertAlign w:val="superscript"/>
        </w:rPr>
        <w:t>10</w:t>
      </w:r>
    </w:p>
    <w:p w14:paraId="7EDD6C68" w14:textId="77777777" w:rsidR="00C57C2D" w:rsidRPr="00C57C2D" w:rsidRDefault="00C57C2D" w:rsidP="00C57C2D">
      <w:pPr>
        <w:numPr>
          <w:ilvl w:val="0"/>
          <w:numId w:val="4"/>
        </w:numPr>
        <w:rPr>
          <w:rFonts w:ascii="Arial" w:eastAsia="Times New Roman" w:hAnsi="Arial" w:cs="Arial"/>
          <w:color w:val="1B1C1D"/>
        </w:rPr>
      </w:pPr>
      <w:r w:rsidRPr="00C57C2D">
        <w:rPr>
          <w:rFonts w:ascii="Arial" w:eastAsia="Times New Roman" w:hAnsi="Arial" w:cs="Arial"/>
          <w:b/>
          <w:bCs/>
          <w:color w:val="1B1C1D"/>
          <w:bdr w:val="none" w:sz="0" w:space="0" w:color="auto" w:frame="1"/>
        </w:rPr>
        <w:t>3.6. Immunological Tolerance Mechanisms: Maintaining Self-Specificity</w:t>
      </w:r>
    </w:p>
    <w:p w14:paraId="0F94CDB7"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color w:val="1B1C1D"/>
        </w:rPr>
        <w:t>Despite the remarkable precision of TCR-MHC interactions and the sophisticated intracellular signaling pathways, the sheer diversity of the T-cell repertoire means that some T cells with potential self-reactivity inevitably arise. To counteract this, the immune system employs multiple, complementary tolerance mechanisms that work in concert to prevent the activation of self-reactive T cells and ensure self-specificity.</w:t>
      </w:r>
      <w:r w:rsidRPr="00C57C2D">
        <w:rPr>
          <w:rFonts w:ascii="Arial" w:eastAsia="Times New Roman" w:hAnsi="Arial" w:cs="Arial"/>
          <w:color w:val="575B5F"/>
          <w:bdr w:val="none" w:sz="0" w:space="0" w:color="auto" w:frame="1"/>
          <w:vertAlign w:val="superscript"/>
        </w:rPr>
        <w:t>4</w:t>
      </w:r>
      <w:r w:rsidRPr="00C57C2D">
        <w:rPr>
          <w:rFonts w:ascii="Arial" w:eastAsia="Times New Roman" w:hAnsi="Arial" w:cs="Arial"/>
          <w:color w:val="1B1C1D"/>
        </w:rPr>
        <w:t xml:space="preserve"> This multi-layered protection operates at different stages of T-cell development and in various anatomical locations.</w:t>
      </w:r>
    </w:p>
    <w:p w14:paraId="5AA4A9BD"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b/>
          <w:bCs/>
          <w:color w:val="1B1C1D"/>
          <w:bdr w:val="none" w:sz="0" w:space="0" w:color="auto" w:frame="1"/>
        </w:rPr>
        <w:t>Central Tolerance (Thymus):</w:t>
      </w:r>
      <w:r w:rsidRPr="00C57C2D">
        <w:rPr>
          <w:rFonts w:ascii="Arial" w:eastAsia="Times New Roman" w:hAnsi="Arial" w:cs="Arial"/>
          <w:color w:val="1B1C1D"/>
        </w:rPr>
        <w:t xml:space="preserve"> This primary layer of tolerance occurs during T-cell development within the thymus.</w:t>
      </w:r>
    </w:p>
    <w:p w14:paraId="7A10A3B4" w14:textId="77777777" w:rsidR="00C57C2D" w:rsidRPr="00C57C2D" w:rsidRDefault="00C57C2D" w:rsidP="00C57C2D">
      <w:pPr>
        <w:numPr>
          <w:ilvl w:val="1"/>
          <w:numId w:val="4"/>
        </w:numPr>
        <w:rPr>
          <w:rFonts w:ascii="Arial" w:eastAsia="Times New Roman" w:hAnsi="Arial" w:cs="Arial"/>
          <w:color w:val="1B1C1D"/>
        </w:rPr>
      </w:pPr>
      <w:r w:rsidRPr="00C57C2D">
        <w:rPr>
          <w:rFonts w:ascii="Arial" w:eastAsia="Times New Roman" w:hAnsi="Arial" w:cs="Arial"/>
          <w:b/>
          <w:bCs/>
          <w:color w:val="1B1C1D"/>
          <w:bdr w:val="none" w:sz="0" w:space="0" w:color="auto" w:frame="1"/>
        </w:rPr>
        <w:t>Positive Selection:</w:t>
      </w:r>
      <w:r w:rsidRPr="00C57C2D">
        <w:rPr>
          <w:rFonts w:ascii="Arial" w:eastAsia="Times New Roman" w:hAnsi="Arial" w:cs="Arial"/>
          <w:color w:val="1B1C1D"/>
        </w:rPr>
        <w:t xml:space="preserve"> Immature T cells, or thymocytes, express newly rearranged TCRs. Those TCRs that bind to self-pMHC molecules on cortical thymic epithelial cells with low to moderate affinity receive survival signals and are "positively selected." This process ensures that mature T cells are MHC-restricted, meaning they can only recognize antigens presented by self-MHC molecules.</w:t>
      </w:r>
      <w:r w:rsidRPr="00C57C2D">
        <w:rPr>
          <w:rFonts w:ascii="Arial" w:eastAsia="Times New Roman" w:hAnsi="Arial" w:cs="Arial"/>
          <w:color w:val="575B5F"/>
          <w:bdr w:val="none" w:sz="0" w:space="0" w:color="auto" w:frame="1"/>
          <w:vertAlign w:val="superscript"/>
        </w:rPr>
        <w:t>4</w:t>
      </w:r>
    </w:p>
    <w:p w14:paraId="6B652DBE" w14:textId="77777777" w:rsidR="00C57C2D" w:rsidRPr="00C57C2D" w:rsidRDefault="00C57C2D" w:rsidP="00C57C2D">
      <w:pPr>
        <w:numPr>
          <w:ilvl w:val="1"/>
          <w:numId w:val="4"/>
        </w:numPr>
        <w:rPr>
          <w:rFonts w:ascii="Arial" w:eastAsia="Times New Roman" w:hAnsi="Arial" w:cs="Arial"/>
          <w:color w:val="1B1C1D"/>
        </w:rPr>
      </w:pPr>
      <w:r w:rsidRPr="00C57C2D">
        <w:rPr>
          <w:rFonts w:ascii="Arial" w:eastAsia="Times New Roman" w:hAnsi="Arial" w:cs="Arial"/>
          <w:b/>
          <w:bCs/>
          <w:color w:val="1B1C1D"/>
          <w:bdr w:val="none" w:sz="0" w:space="0" w:color="auto" w:frame="1"/>
        </w:rPr>
        <w:t>Negative Selection:</w:t>
      </w:r>
      <w:r w:rsidRPr="00C57C2D">
        <w:rPr>
          <w:rFonts w:ascii="Arial" w:eastAsia="Times New Roman" w:hAnsi="Arial" w:cs="Arial"/>
          <w:color w:val="1B1C1D"/>
        </w:rPr>
        <w:t xml:space="preserve"> In contrast, thymocytes whose TCRs bind to self-pMHC molecules with high affinity are recognized as potentially autoreactive. These cells receive strong apoptotic signals and are deleted, a process known as "negative selection".</w:t>
      </w:r>
      <w:r w:rsidRPr="00C57C2D">
        <w:rPr>
          <w:rFonts w:ascii="Arial" w:eastAsia="Times New Roman" w:hAnsi="Arial" w:cs="Arial"/>
          <w:color w:val="575B5F"/>
          <w:bdr w:val="none" w:sz="0" w:space="0" w:color="auto" w:frame="1"/>
          <w:vertAlign w:val="superscript"/>
        </w:rPr>
        <w:t>4</w:t>
      </w:r>
      <w:r w:rsidRPr="00C57C2D">
        <w:rPr>
          <w:rFonts w:ascii="Arial" w:eastAsia="Times New Roman" w:hAnsi="Arial" w:cs="Arial"/>
          <w:color w:val="1B1C1D"/>
        </w:rPr>
        <w:t xml:space="preserve"> This is the primary mechanism for purging highly autoreactive T cells before they egress from the thymus into the periphery.</w:t>
      </w:r>
    </w:p>
    <w:p w14:paraId="2398CDE2" w14:textId="77777777" w:rsidR="00C57C2D" w:rsidRPr="00C57C2D" w:rsidRDefault="00C57C2D" w:rsidP="00C57C2D">
      <w:pPr>
        <w:numPr>
          <w:ilvl w:val="1"/>
          <w:numId w:val="4"/>
        </w:numPr>
        <w:rPr>
          <w:rFonts w:ascii="Arial" w:eastAsia="Times New Roman" w:hAnsi="Arial" w:cs="Arial"/>
          <w:color w:val="1B1C1D"/>
        </w:rPr>
      </w:pPr>
      <w:r w:rsidRPr="00C57C2D">
        <w:rPr>
          <w:rFonts w:ascii="Arial" w:eastAsia="Times New Roman" w:hAnsi="Arial" w:cs="Arial"/>
          <w:b/>
          <w:bCs/>
          <w:color w:val="1B1C1D"/>
          <w:bdr w:val="none" w:sz="0" w:space="0" w:color="auto" w:frame="1"/>
        </w:rPr>
        <w:t>Other Mechanisms:</w:t>
      </w:r>
      <w:r w:rsidRPr="00C57C2D">
        <w:rPr>
          <w:rFonts w:ascii="Arial" w:eastAsia="Times New Roman" w:hAnsi="Arial" w:cs="Arial"/>
          <w:color w:val="1B1C1D"/>
        </w:rPr>
        <w:t xml:space="preserve"> Central tolerance also includes the diversion of some autoreactive thymocytes towards immunoregulatory lineages, such as natural regulatory T (nTreg) cells, which actively suppress immune responses.</w:t>
      </w:r>
      <w:r w:rsidRPr="00C57C2D">
        <w:rPr>
          <w:rFonts w:ascii="Arial" w:eastAsia="Times New Roman" w:hAnsi="Arial" w:cs="Arial"/>
          <w:color w:val="575B5F"/>
          <w:bdr w:val="none" w:sz="0" w:space="0" w:color="auto" w:frame="1"/>
          <w:vertAlign w:val="superscript"/>
        </w:rPr>
        <w:t>4</w:t>
      </w:r>
      <w:r w:rsidRPr="00C57C2D">
        <w:rPr>
          <w:rFonts w:ascii="Arial" w:eastAsia="Times New Roman" w:hAnsi="Arial" w:cs="Arial"/>
          <w:color w:val="1B1C1D"/>
        </w:rPr>
        <w:t xml:space="preserve"> Additionally, some high-affinity thymocytes may be rendered unresponsive (anergic).</w:t>
      </w:r>
      <w:r w:rsidRPr="00C57C2D">
        <w:rPr>
          <w:rFonts w:ascii="Arial" w:eastAsia="Times New Roman" w:hAnsi="Arial" w:cs="Arial"/>
          <w:color w:val="575B5F"/>
          <w:bdr w:val="none" w:sz="0" w:space="0" w:color="auto" w:frame="1"/>
          <w:vertAlign w:val="superscript"/>
        </w:rPr>
        <w:t>4</w:t>
      </w:r>
    </w:p>
    <w:p w14:paraId="381F1452"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b/>
          <w:bCs/>
          <w:color w:val="1B1C1D"/>
          <w:bdr w:val="none" w:sz="0" w:space="0" w:color="auto" w:frame="1"/>
        </w:rPr>
        <w:t>Peripheral Tolerance (Periphery):</w:t>
      </w:r>
      <w:r w:rsidRPr="00C57C2D">
        <w:rPr>
          <w:rFonts w:ascii="Arial" w:eastAsia="Times New Roman" w:hAnsi="Arial" w:cs="Arial"/>
          <w:color w:val="1B1C1D"/>
        </w:rPr>
        <w:t xml:space="preserve"> Despite the rigor of central tolerance, it is not 100% efficient, with estimates suggesting 60-70% efficiency.</w:t>
      </w:r>
      <w:r w:rsidRPr="00C57C2D">
        <w:rPr>
          <w:rFonts w:ascii="Arial" w:eastAsia="Times New Roman" w:hAnsi="Arial" w:cs="Arial"/>
          <w:color w:val="575B5F"/>
          <w:bdr w:val="none" w:sz="0" w:space="0" w:color="auto" w:frame="1"/>
          <w:vertAlign w:val="superscript"/>
        </w:rPr>
        <w:t>4</w:t>
      </w:r>
      <w:r w:rsidRPr="00C57C2D">
        <w:rPr>
          <w:rFonts w:ascii="Arial" w:eastAsia="Times New Roman" w:hAnsi="Arial" w:cs="Arial"/>
          <w:color w:val="1B1C1D"/>
        </w:rPr>
        <w:t xml:space="preserve"> Consequently, some self-reactive T cells inevitably "escape" the thymus and enter the peripheral lymphoid organs and tissues.</w:t>
      </w:r>
      <w:r w:rsidRPr="00C57C2D">
        <w:rPr>
          <w:rFonts w:ascii="Arial" w:eastAsia="Times New Roman" w:hAnsi="Arial" w:cs="Arial"/>
          <w:color w:val="575B5F"/>
          <w:bdr w:val="none" w:sz="0" w:space="0" w:color="auto" w:frame="1"/>
          <w:vertAlign w:val="superscript"/>
        </w:rPr>
        <w:t>4</w:t>
      </w:r>
      <w:r w:rsidRPr="00C57C2D">
        <w:rPr>
          <w:rFonts w:ascii="Arial" w:eastAsia="Times New Roman" w:hAnsi="Arial" w:cs="Arial"/>
          <w:color w:val="1B1C1D"/>
        </w:rPr>
        <w:t xml:space="preserve"> Peripheral tolerance mechanisms provide a crucial second layer of protection:</w:t>
      </w:r>
    </w:p>
    <w:p w14:paraId="1B5B50A1" w14:textId="77777777" w:rsidR="00C57C2D" w:rsidRPr="00C57C2D" w:rsidRDefault="00C57C2D" w:rsidP="00C57C2D">
      <w:pPr>
        <w:numPr>
          <w:ilvl w:val="1"/>
          <w:numId w:val="4"/>
        </w:numPr>
        <w:rPr>
          <w:rFonts w:ascii="Arial" w:eastAsia="Times New Roman" w:hAnsi="Arial" w:cs="Arial"/>
          <w:color w:val="1B1C1D"/>
        </w:rPr>
      </w:pPr>
      <w:r w:rsidRPr="00C57C2D">
        <w:rPr>
          <w:rFonts w:ascii="Arial" w:eastAsia="Times New Roman" w:hAnsi="Arial" w:cs="Arial"/>
          <w:b/>
          <w:bCs/>
          <w:color w:val="1B1C1D"/>
          <w:bdr w:val="none" w:sz="0" w:space="0" w:color="auto" w:frame="1"/>
        </w:rPr>
        <w:t>Deletion:</w:t>
      </w:r>
      <w:r w:rsidRPr="00C57C2D">
        <w:rPr>
          <w:rFonts w:ascii="Arial" w:eastAsia="Times New Roman" w:hAnsi="Arial" w:cs="Arial"/>
          <w:color w:val="1B1C1D"/>
        </w:rPr>
        <w:t xml:space="preserve"> Self-reactive T cells that recognize self-peptides with high affinity under non-inflammatory conditions can undergo apoptosis and are deleted from the repertoire.</w:t>
      </w:r>
      <w:r w:rsidRPr="00C57C2D">
        <w:rPr>
          <w:rFonts w:ascii="Arial" w:eastAsia="Times New Roman" w:hAnsi="Arial" w:cs="Arial"/>
          <w:color w:val="575B5F"/>
          <w:bdr w:val="none" w:sz="0" w:space="0" w:color="auto" w:frame="1"/>
          <w:vertAlign w:val="superscript"/>
        </w:rPr>
        <w:t>4</w:t>
      </w:r>
    </w:p>
    <w:p w14:paraId="1930E4DE" w14:textId="77777777" w:rsidR="00C57C2D" w:rsidRPr="00C57C2D" w:rsidRDefault="00C57C2D" w:rsidP="00C57C2D">
      <w:pPr>
        <w:numPr>
          <w:ilvl w:val="1"/>
          <w:numId w:val="4"/>
        </w:numPr>
        <w:rPr>
          <w:rFonts w:ascii="Arial" w:eastAsia="Times New Roman" w:hAnsi="Arial" w:cs="Arial"/>
          <w:color w:val="1B1C1D"/>
        </w:rPr>
      </w:pPr>
      <w:r w:rsidRPr="00C57C2D">
        <w:rPr>
          <w:rFonts w:ascii="Arial" w:eastAsia="Times New Roman" w:hAnsi="Arial" w:cs="Arial"/>
          <w:b/>
          <w:bCs/>
          <w:color w:val="1B1C1D"/>
          <w:bdr w:val="none" w:sz="0" w:space="0" w:color="auto" w:frame="1"/>
        </w:rPr>
        <w:t>Anergy:</w:t>
      </w:r>
      <w:r w:rsidRPr="00C57C2D">
        <w:rPr>
          <w:rFonts w:ascii="Arial" w:eastAsia="Times New Roman" w:hAnsi="Arial" w:cs="Arial"/>
          <w:color w:val="1B1C1D"/>
        </w:rPr>
        <w:t xml:space="preserve"> T cells that engage self-pMHC with considerable affinity but in the absence of co-stimulatory signals (which are typically provided during </w:t>
      </w:r>
      <w:r w:rsidRPr="00C57C2D">
        <w:rPr>
          <w:rFonts w:ascii="Arial" w:eastAsia="Times New Roman" w:hAnsi="Arial" w:cs="Arial"/>
          <w:color w:val="1B1C1D"/>
        </w:rPr>
        <w:lastRenderedPageBreak/>
        <w:t>infection) can become anergic. This means they enter a dysfunctional or hyporesponsive state, unable to proliferate or fully activate even upon subsequent antigen exposure. Anergy can manifest as clonal anergy (reduced proliferation but some cytokine production) or adaptive tolerance (suppression of both proliferation and cytokine production).</w:t>
      </w:r>
      <w:r w:rsidRPr="00C57C2D">
        <w:rPr>
          <w:rFonts w:ascii="Arial" w:eastAsia="Times New Roman" w:hAnsi="Arial" w:cs="Arial"/>
          <w:color w:val="575B5F"/>
          <w:bdr w:val="none" w:sz="0" w:space="0" w:color="auto" w:frame="1"/>
          <w:vertAlign w:val="superscript"/>
        </w:rPr>
        <w:t>4</w:t>
      </w:r>
    </w:p>
    <w:p w14:paraId="03C8CADB" w14:textId="77777777" w:rsidR="00C57C2D" w:rsidRPr="00C57C2D" w:rsidRDefault="00C57C2D" w:rsidP="00C57C2D">
      <w:pPr>
        <w:numPr>
          <w:ilvl w:val="1"/>
          <w:numId w:val="4"/>
        </w:numPr>
        <w:rPr>
          <w:rFonts w:ascii="Arial" w:eastAsia="Times New Roman" w:hAnsi="Arial" w:cs="Arial"/>
          <w:color w:val="1B1C1D"/>
        </w:rPr>
      </w:pPr>
      <w:r w:rsidRPr="00C57C2D">
        <w:rPr>
          <w:rFonts w:ascii="Arial" w:eastAsia="Times New Roman" w:hAnsi="Arial" w:cs="Arial"/>
          <w:b/>
          <w:bCs/>
          <w:color w:val="1B1C1D"/>
          <w:bdr w:val="none" w:sz="0" w:space="0" w:color="auto" w:frame="1"/>
        </w:rPr>
        <w:t>Ignorance:</w:t>
      </w:r>
      <w:r w:rsidRPr="00C57C2D">
        <w:rPr>
          <w:rFonts w:ascii="Arial" w:eastAsia="Times New Roman" w:hAnsi="Arial" w:cs="Arial"/>
          <w:color w:val="1B1C1D"/>
        </w:rPr>
        <w:t xml:space="preserve"> Some self-reactive T cells may exist in a state of "ignorance." This occurs when self-peptides are presented at very low levels or in immunologically privileged sites, preventing the T cells from encountering their cognate antigen sufficiently to become activated. These cells remain naive and functional but are not triggered.</w:t>
      </w:r>
      <w:r w:rsidRPr="00C57C2D">
        <w:rPr>
          <w:rFonts w:ascii="Arial" w:eastAsia="Times New Roman" w:hAnsi="Arial" w:cs="Arial"/>
          <w:color w:val="575B5F"/>
          <w:bdr w:val="none" w:sz="0" w:space="0" w:color="auto" w:frame="1"/>
          <w:vertAlign w:val="superscript"/>
        </w:rPr>
        <w:t>4</w:t>
      </w:r>
    </w:p>
    <w:p w14:paraId="491ADB7F" w14:textId="77777777" w:rsidR="00C57C2D" w:rsidRPr="00C57C2D" w:rsidRDefault="00C57C2D" w:rsidP="00C57C2D">
      <w:pPr>
        <w:numPr>
          <w:ilvl w:val="1"/>
          <w:numId w:val="4"/>
        </w:numPr>
        <w:rPr>
          <w:rFonts w:ascii="Arial" w:eastAsia="Times New Roman" w:hAnsi="Arial" w:cs="Arial"/>
          <w:color w:val="1B1C1D"/>
        </w:rPr>
      </w:pPr>
      <w:r w:rsidRPr="00C57C2D">
        <w:rPr>
          <w:rFonts w:ascii="Arial" w:eastAsia="Times New Roman" w:hAnsi="Arial" w:cs="Arial"/>
          <w:b/>
          <w:bCs/>
          <w:color w:val="1B1C1D"/>
          <w:bdr w:val="none" w:sz="0" w:space="0" w:color="auto" w:frame="1"/>
        </w:rPr>
        <w:t>Regulatory T (Treg) Cell Induction:</w:t>
      </w:r>
      <w:r w:rsidRPr="00C57C2D">
        <w:rPr>
          <w:rFonts w:ascii="Arial" w:eastAsia="Times New Roman" w:hAnsi="Arial" w:cs="Arial"/>
          <w:color w:val="1B1C1D"/>
        </w:rPr>
        <w:t xml:space="preserve"> Both nTregs, which mature in the thymus, and peripheral Tregs (pTregs), which are induced from conventional T cells in the periphery upon recognition of self-peptides, play a vital role in actively suppressing autoreactive T-cell responses and maintaining immune homeostasis.</w:t>
      </w:r>
      <w:r w:rsidRPr="00C57C2D">
        <w:rPr>
          <w:rFonts w:ascii="Arial" w:eastAsia="Times New Roman" w:hAnsi="Arial" w:cs="Arial"/>
          <w:color w:val="575B5F"/>
          <w:bdr w:val="none" w:sz="0" w:space="0" w:color="auto" w:frame="1"/>
          <w:vertAlign w:val="superscript"/>
        </w:rPr>
        <w:t>4</w:t>
      </w:r>
    </w:p>
    <w:p w14:paraId="266369DC" w14:textId="77777777" w:rsidR="00C57C2D" w:rsidRPr="00C57C2D" w:rsidRDefault="00C57C2D" w:rsidP="00C57C2D">
      <w:pPr>
        <w:spacing w:after="120"/>
        <w:ind w:left="720"/>
        <w:rPr>
          <w:rFonts w:ascii="Arial" w:eastAsia="Times New Roman" w:hAnsi="Arial" w:cs="Arial"/>
          <w:color w:val="1B1C1D"/>
        </w:rPr>
      </w:pPr>
      <w:r w:rsidRPr="00C57C2D">
        <w:rPr>
          <w:rFonts w:ascii="Arial" w:eastAsia="Times New Roman" w:hAnsi="Arial" w:cs="Arial"/>
          <w:color w:val="1B1C1D"/>
        </w:rPr>
        <w:t>The observation that central tolerance is not perfectly efficient and that some self-reactive T cells are allowed to survive and enter the periphery highlights a sophisticated biological strategy. This calculated risk is balanced by robust peripheral tolerance mechanisms, allowing the immune system to maintain a broad and adaptable repertoire without succumbing to autoimmunity. This redundancy and interconnectedness of tolerance mechanisms represent a critical fail-safe system. It reveals a sophisticated biological strategy where the immune system prioritizes both robust defense and self-preservation. The multi-tiered tolerance system, including the deliberate allowance of some self-reactive T cells (which are then managed by peripheral mechanisms), reflects an evolutionary compromise to maximize repertoire diversity while minimizing the existential threat of autoimmunity. This redundancy is crucial for maintaining immune homeostasis in the face of diverse and unpredictable challenges.</w:t>
      </w:r>
    </w:p>
    <w:p w14:paraId="4EE0E4C7"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b/>
          <w:bCs/>
          <w:color w:val="1B1C1D"/>
          <w:bdr w:val="none" w:sz="0" w:space="0" w:color="auto" w:frame="1"/>
        </w:rPr>
        <w:t>Table 2: Key Mechanisms of Central and Peripheral T-cell Tolerance</w:t>
      </w:r>
    </w:p>
    <w:tbl>
      <w:tblPr>
        <w:tblW w:w="0" w:type="auto"/>
        <w:tblCellSpacing w:w="15" w:type="dxa"/>
        <w:tblCellMar>
          <w:left w:w="0" w:type="dxa"/>
          <w:right w:w="0" w:type="dxa"/>
        </w:tblCellMar>
        <w:tblLook w:val="04A0" w:firstRow="1" w:lastRow="0" w:firstColumn="1" w:lastColumn="0" w:noHBand="0" w:noVBand="1"/>
      </w:tblPr>
      <w:tblGrid>
        <w:gridCol w:w="1187"/>
        <w:gridCol w:w="1449"/>
        <w:gridCol w:w="1824"/>
        <w:gridCol w:w="1286"/>
        <w:gridCol w:w="2371"/>
        <w:gridCol w:w="1227"/>
      </w:tblGrid>
      <w:tr w:rsidR="00C57C2D" w:rsidRPr="00C57C2D" w14:paraId="7C587AEE" w14:textId="77777777" w:rsidTr="00C57C2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B5878D"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Mechanism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DFD38"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Location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834BF"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Key Processes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5C5056"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TCR Affinity for Self-pMHC (General)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82E1FC"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Outcome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46C38"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Contribution to Specificity</w:t>
            </w:r>
          </w:p>
        </w:tc>
      </w:tr>
      <w:tr w:rsidR="00C57C2D" w:rsidRPr="00C57C2D" w14:paraId="5649DF62" w14:textId="77777777" w:rsidTr="00C57C2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0ED73"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b/>
                <w:bCs/>
                <w:color w:val="1B1C1D"/>
                <w:sz w:val="21"/>
                <w:szCs w:val="21"/>
                <w:bdr w:val="none" w:sz="0" w:space="0" w:color="auto" w:frame="1"/>
              </w:rPr>
              <w:t>Central Tolerance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251AF"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Thymus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4788B"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Positive Selection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161C2"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Low-moderate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033A8"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Maturation and survival; ensures MHC restriction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FA883F"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Ensures MHC restriction and functional repertoire.</w:t>
            </w:r>
          </w:p>
        </w:tc>
      </w:tr>
      <w:tr w:rsidR="00C57C2D" w:rsidRPr="00C57C2D" w14:paraId="1BF841BA" w14:textId="77777777" w:rsidTr="00C57C2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B8E3D" w14:textId="77777777" w:rsidR="00C57C2D" w:rsidRPr="00C57C2D" w:rsidRDefault="00C57C2D" w:rsidP="00C57C2D">
            <w:pPr>
              <w:rPr>
                <w:rFonts w:ascii="Arial" w:eastAsia="Times New Roman"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5C999F" w14:textId="77777777" w:rsidR="00C57C2D" w:rsidRPr="00C57C2D" w:rsidRDefault="00C57C2D" w:rsidP="00C57C2D">
            <w:pPr>
              <w:rPr>
                <w:rFonts w:ascii="Times New Roman" w:eastAsia="Times New Roman" w:hAnsi="Times New Roman" w:cs="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E2C1F"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Negative Selection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F866A"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47298"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Apoptosis/deletion of highly autoreactive clones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CDBC7"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Purges highly self-reactive T cells.</w:t>
            </w:r>
          </w:p>
        </w:tc>
      </w:tr>
      <w:tr w:rsidR="00C57C2D" w:rsidRPr="00C57C2D" w14:paraId="0FEFF66E" w14:textId="77777777" w:rsidTr="00C57C2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E4DA5" w14:textId="77777777" w:rsidR="00C57C2D" w:rsidRPr="00C57C2D" w:rsidRDefault="00C57C2D" w:rsidP="00C57C2D">
            <w:pPr>
              <w:rPr>
                <w:rFonts w:ascii="Arial" w:eastAsia="Times New Roman"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57AF3" w14:textId="77777777" w:rsidR="00C57C2D" w:rsidRPr="00C57C2D" w:rsidRDefault="00C57C2D" w:rsidP="00C57C2D">
            <w:pPr>
              <w:rPr>
                <w:rFonts w:ascii="Times New Roman" w:eastAsia="Times New Roman" w:hAnsi="Times New Roman" w:cs="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A851C"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Regulatory T cell (nTreg) Induction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14BED"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Moderate-High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AAB40"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Differentiation into suppressive T cells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E87C29"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Actively suppresses self-reactive responses.</w:t>
            </w:r>
          </w:p>
        </w:tc>
      </w:tr>
      <w:tr w:rsidR="00C57C2D" w:rsidRPr="00C57C2D" w14:paraId="7ECA0119" w14:textId="77777777" w:rsidTr="00C57C2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DA305" w14:textId="77777777" w:rsidR="00C57C2D" w:rsidRPr="00C57C2D" w:rsidRDefault="00C57C2D" w:rsidP="00C57C2D">
            <w:pPr>
              <w:rPr>
                <w:rFonts w:ascii="Arial" w:eastAsia="Times New Roman"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3AE1E" w14:textId="77777777" w:rsidR="00C57C2D" w:rsidRPr="00C57C2D" w:rsidRDefault="00C57C2D" w:rsidP="00C57C2D">
            <w:pPr>
              <w:rPr>
                <w:rFonts w:ascii="Times New Roman" w:eastAsia="Times New Roman" w:hAnsi="Times New Roman" w:cs="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B6A52"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Anergy/Unresponsive State Induction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AB931"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FF3869"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Induction of an unresponsive state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23E30B"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Prevents activation of high-affinity self-reactive cells.</w:t>
            </w:r>
          </w:p>
        </w:tc>
      </w:tr>
      <w:tr w:rsidR="00C57C2D" w:rsidRPr="00C57C2D" w14:paraId="38774468" w14:textId="77777777" w:rsidTr="00C57C2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90FB3"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b/>
                <w:bCs/>
                <w:color w:val="1B1C1D"/>
                <w:sz w:val="21"/>
                <w:szCs w:val="21"/>
                <w:bdr w:val="none" w:sz="0" w:space="0" w:color="auto" w:frame="1"/>
              </w:rPr>
              <w:t>Peripheral Tolerance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C03FE"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Peripheral Lymphoid Organs/Tissues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2096E"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Deletion (Apoptosis)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098DA"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4BF81"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Elimination of self-reactive T cells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3AFAC"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Removes escaped self-reactive T cells.</w:t>
            </w:r>
          </w:p>
        </w:tc>
      </w:tr>
      <w:tr w:rsidR="00C57C2D" w:rsidRPr="00C57C2D" w14:paraId="1309C26D" w14:textId="77777777" w:rsidTr="00C57C2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82B56" w14:textId="77777777" w:rsidR="00C57C2D" w:rsidRPr="00C57C2D" w:rsidRDefault="00C57C2D" w:rsidP="00C57C2D">
            <w:pPr>
              <w:rPr>
                <w:rFonts w:ascii="Arial" w:eastAsia="Times New Roman"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F36F1D" w14:textId="77777777" w:rsidR="00C57C2D" w:rsidRPr="00C57C2D" w:rsidRDefault="00C57C2D" w:rsidP="00C57C2D">
            <w:pPr>
              <w:rPr>
                <w:rFonts w:ascii="Times New Roman" w:eastAsia="Times New Roman" w:hAnsi="Times New Roman" w:cs="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A8274"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Anergy (Clonal, Adaptive)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B6A96"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Considerable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E50384"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Hyporesponsive/dysfunctional state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49EB7"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Prevents activation without deletion.</w:t>
            </w:r>
          </w:p>
        </w:tc>
      </w:tr>
      <w:tr w:rsidR="00C57C2D" w:rsidRPr="00C57C2D" w14:paraId="3364117F" w14:textId="77777777" w:rsidTr="00C57C2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49175" w14:textId="77777777" w:rsidR="00C57C2D" w:rsidRPr="00C57C2D" w:rsidRDefault="00C57C2D" w:rsidP="00C57C2D">
            <w:pPr>
              <w:rPr>
                <w:rFonts w:ascii="Arial" w:eastAsia="Times New Roman"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D28BF" w14:textId="77777777" w:rsidR="00C57C2D" w:rsidRPr="00C57C2D" w:rsidRDefault="00C57C2D" w:rsidP="00C57C2D">
            <w:pPr>
              <w:rPr>
                <w:rFonts w:ascii="Times New Roman" w:eastAsia="Times New Roman" w:hAnsi="Times New Roman" w:cs="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0E8F3"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Ignorance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589A5"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E50D6"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Cells remain naive and functional but not activated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B0100A"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Prevents activation due to insuffici</w:t>
            </w:r>
            <w:r w:rsidRPr="00C57C2D">
              <w:rPr>
                <w:rFonts w:ascii="Arial" w:eastAsia="Times New Roman" w:hAnsi="Arial" w:cs="Arial"/>
                <w:color w:val="1B1C1D"/>
                <w:sz w:val="21"/>
                <w:szCs w:val="21"/>
              </w:rPr>
              <w:lastRenderedPageBreak/>
              <w:t>ent antigen encounter.</w:t>
            </w:r>
          </w:p>
        </w:tc>
      </w:tr>
      <w:tr w:rsidR="00C57C2D" w:rsidRPr="00C57C2D" w14:paraId="43DBC3F0" w14:textId="77777777" w:rsidTr="00C57C2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00204" w14:textId="77777777" w:rsidR="00C57C2D" w:rsidRPr="00C57C2D" w:rsidRDefault="00C57C2D" w:rsidP="00C57C2D">
            <w:pPr>
              <w:rPr>
                <w:rFonts w:ascii="Arial" w:eastAsia="Times New Roman"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A14DE" w14:textId="77777777" w:rsidR="00C57C2D" w:rsidRPr="00C57C2D" w:rsidRDefault="00C57C2D" w:rsidP="00C57C2D">
            <w:pPr>
              <w:rPr>
                <w:rFonts w:ascii="Times New Roman" w:eastAsia="Times New Roman" w:hAnsi="Times New Roman" w:cs="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DF5214"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Regulatory T cell (pTreg) Induction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5CA367"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Optimal window (influenced by affinity)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593F6"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Induction of suppressive T cells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A33A3" w14:textId="77777777" w:rsidR="00C57C2D" w:rsidRPr="00C57C2D" w:rsidRDefault="00C57C2D" w:rsidP="00C57C2D">
            <w:pPr>
              <w:rPr>
                <w:rFonts w:ascii="Arial" w:eastAsia="Times New Roman" w:hAnsi="Arial" w:cs="Arial"/>
                <w:color w:val="1B1C1D"/>
                <w:sz w:val="21"/>
                <w:szCs w:val="21"/>
              </w:rPr>
            </w:pPr>
            <w:r w:rsidRPr="00C57C2D">
              <w:rPr>
                <w:rFonts w:ascii="Arial" w:eastAsia="Times New Roman" w:hAnsi="Arial" w:cs="Arial"/>
                <w:color w:val="1B1C1D"/>
                <w:sz w:val="21"/>
                <w:szCs w:val="21"/>
              </w:rPr>
              <w:t>Actively suppresses self-reactive responses in the periphery.</w:t>
            </w:r>
          </w:p>
        </w:tc>
      </w:tr>
    </w:tbl>
    <w:p w14:paraId="60F8B237" w14:textId="77777777" w:rsidR="00C57C2D" w:rsidRPr="00C57C2D" w:rsidRDefault="00C57C2D" w:rsidP="00C57C2D">
      <w:pPr>
        <w:numPr>
          <w:ilvl w:val="0"/>
          <w:numId w:val="5"/>
        </w:numPr>
        <w:rPr>
          <w:rFonts w:ascii="Arial" w:eastAsia="Times New Roman" w:hAnsi="Arial" w:cs="Arial"/>
          <w:color w:val="1B1C1D"/>
        </w:rPr>
      </w:pPr>
      <w:r w:rsidRPr="00C57C2D">
        <w:rPr>
          <w:rFonts w:ascii="Arial" w:eastAsia="Times New Roman" w:hAnsi="Arial" w:cs="Arial"/>
          <w:b/>
          <w:bCs/>
          <w:color w:val="1B1C1D"/>
          <w:bdr w:val="none" w:sz="0" w:space="0" w:color="auto" w:frame="1"/>
        </w:rPr>
        <w:t>3.7. TCR Cross-reactivity: Balancing Repertoire Coverage and Specificity</w:t>
      </w:r>
    </w:p>
    <w:p w14:paraId="3FD9D4A0"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color w:val="1B1C1D"/>
        </w:rPr>
        <w:t>T-cell cross-reactivity is defined as the ability of a single T-cell receptor to bind to and be activated by multiple distinct peptide-MHC complexes, often with varying affinities.</w:t>
      </w:r>
      <w:r w:rsidRPr="00C57C2D">
        <w:rPr>
          <w:rFonts w:ascii="Arial" w:eastAsia="Times New Roman" w:hAnsi="Arial" w:cs="Arial"/>
          <w:color w:val="575B5F"/>
          <w:bdr w:val="none" w:sz="0" w:space="0" w:color="auto" w:frame="1"/>
          <w:vertAlign w:val="superscript"/>
        </w:rPr>
        <w:t>9</w:t>
      </w:r>
      <w:r w:rsidRPr="00C57C2D">
        <w:rPr>
          <w:rFonts w:ascii="Arial" w:eastAsia="Times New Roman" w:hAnsi="Arial" w:cs="Arial"/>
          <w:color w:val="1B1C1D"/>
        </w:rPr>
        <w:t xml:space="preserve"> This phenomenon is crucial for the adaptive immune system, particularly given the finite size of the mature T-cell repertoire (estimated at 10^8^-10^10^ unique TCRs) compared to the immense and unpredictable number of possible foreign antigens that an individual may encounter throughout a lifetime.</w:t>
      </w:r>
      <w:r w:rsidRPr="00C57C2D">
        <w:rPr>
          <w:rFonts w:ascii="Arial" w:eastAsia="Times New Roman" w:hAnsi="Arial" w:cs="Arial"/>
          <w:color w:val="575B5F"/>
          <w:bdr w:val="none" w:sz="0" w:space="0" w:color="auto" w:frame="1"/>
          <w:vertAlign w:val="superscript"/>
        </w:rPr>
        <w:t>9</w:t>
      </w:r>
      <w:r w:rsidRPr="00C57C2D">
        <w:rPr>
          <w:rFonts w:ascii="Arial" w:eastAsia="Times New Roman" w:hAnsi="Arial" w:cs="Arial"/>
          <w:color w:val="1B1C1D"/>
        </w:rPr>
        <w:t xml:space="preserve"> If each TCR could only recognize a single, unique antigen (a "one-clonotype–one-specificity" paradigm), the immune system would face a significant vulnerability, leading to a "breach of the adaptive immune barrier".</w:t>
      </w:r>
      <w:r w:rsidRPr="00C57C2D">
        <w:rPr>
          <w:rFonts w:ascii="Arial" w:eastAsia="Times New Roman" w:hAnsi="Arial" w:cs="Arial"/>
          <w:color w:val="575B5F"/>
          <w:bdr w:val="none" w:sz="0" w:space="0" w:color="auto" w:frame="1"/>
          <w:vertAlign w:val="superscript"/>
        </w:rPr>
        <w:t>9</w:t>
      </w:r>
    </w:p>
    <w:p w14:paraId="22BEE681"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color w:val="1B1C1D"/>
        </w:rPr>
        <w:t>Cross-reactivity effectively addresses this diversity deficit, ensuring broad coverage of the antigenic landscape. It facilitates polyclonal immune responses to a single antigen, meaning that multiple T-cell clones, each with a slightly different TCR, can recognize and respond to the same pathogen.</w:t>
      </w:r>
      <w:r w:rsidRPr="00C57C2D">
        <w:rPr>
          <w:rFonts w:ascii="Arial" w:eastAsia="Times New Roman" w:hAnsi="Arial" w:cs="Arial"/>
          <w:color w:val="575B5F"/>
          <w:bdr w:val="none" w:sz="0" w:space="0" w:color="auto" w:frame="1"/>
          <w:vertAlign w:val="superscript"/>
        </w:rPr>
        <w:t>9</w:t>
      </w:r>
      <w:r w:rsidRPr="00C57C2D">
        <w:rPr>
          <w:rFonts w:ascii="Arial" w:eastAsia="Times New Roman" w:hAnsi="Arial" w:cs="Arial"/>
          <w:color w:val="1B1C1D"/>
        </w:rPr>
        <w:t xml:space="preserve"> This broadness increases resistance to pathogen escape mutants, as a mutation in one epitope might still be recognized by a cross-reactive TCR. Furthermore, cross-reactivity can induce heterologous immunity, where exposure to one pathogen generates memory T cells that can respond to a different, previously unencountered pathogen. This has been observed in the context of SARS-CoV-2 infection pandemics, where pre-existing T-cell memory from common cold coronaviruses might offer some protection.</w:t>
      </w:r>
      <w:r w:rsidRPr="00C57C2D">
        <w:rPr>
          <w:rFonts w:ascii="Arial" w:eastAsia="Times New Roman" w:hAnsi="Arial" w:cs="Arial"/>
          <w:color w:val="575B5F"/>
          <w:bdr w:val="none" w:sz="0" w:space="0" w:color="auto" w:frame="1"/>
          <w:vertAlign w:val="superscript"/>
        </w:rPr>
        <w:t>9</w:t>
      </w:r>
    </w:p>
    <w:p w14:paraId="109D9751" w14:textId="77777777" w:rsidR="00C57C2D" w:rsidRPr="00C57C2D" w:rsidRDefault="00C57C2D" w:rsidP="00C57C2D">
      <w:pPr>
        <w:ind w:left="720"/>
        <w:rPr>
          <w:rFonts w:ascii="Arial" w:eastAsia="Times New Roman" w:hAnsi="Arial" w:cs="Arial"/>
          <w:color w:val="1B1C1D"/>
        </w:rPr>
      </w:pPr>
      <w:r w:rsidRPr="00C57C2D">
        <w:rPr>
          <w:rFonts w:ascii="Arial" w:eastAsia="Times New Roman" w:hAnsi="Arial" w:cs="Arial"/>
          <w:color w:val="1B1C1D"/>
        </w:rPr>
        <w:t>However, cross-reactivity is a "double-edged sword".</w:t>
      </w:r>
      <w:r w:rsidRPr="00C57C2D">
        <w:rPr>
          <w:rFonts w:ascii="Arial" w:eastAsia="Times New Roman" w:hAnsi="Arial" w:cs="Arial"/>
          <w:color w:val="575B5F"/>
          <w:bdr w:val="none" w:sz="0" w:space="0" w:color="auto" w:frame="1"/>
          <w:vertAlign w:val="superscript"/>
        </w:rPr>
        <w:t>9</w:t>
      </w:r>
      <w:r w:rsidRPr="00C57C2D">
        <w:rPr>
          <w:rFonts w:ascii="Arial" w:eastAsia="Times New Roman" w:hAnsi="Arial" w:cs="Arial"/>
          <w:color w:val="1B1C1D"/>
        </w:rPr>
        <w:t xml:space="preserve"> While beneficial for robust pathogen defense, it carries the inherent risk of recognizing self-antigens, potentially leading to autoimmunity through mechanisms such as molecular mimicry.</w:t>
      </w:r>
      <w:r w:rsidRPr="00C57C2D">
        <w:rPr>
          <w:rFonts w:ascii="Arial" w:eastAsia="Times New Roman" w:hAnsi="Arial" w:cs="Arial"/>
          <w:color w:val="575B5F"/>
          <w:bdr w:val="none" w:sz="0" w:space="0" w:color="auto" w:frame="1"/>
          <w:vertAlign w:val="superscript"/>
        </w:rPr>
        <w:t>9</w:t>
      </w:r>
      <w:r w:rsidRPr="00C57C2D">
        <w:rPr>
          <w:rFonts w:ascii="Arial" w:eastAsia="Times New Roman" w:hAnsi="Arial" w:cs="Arial"/>
          <w:color w:val="1B1C1D"/>
        </w:rPr>
        <w:t xml:space="preserve"> This implies that the immune system has evolved to accept a degree of "imprecision" (cross-reactivity) as a necessary trade-off for breadth of protection. </w:t>
      </w:r>
      <w:r w:rsidRPr="00C57C2D">
        <w:rPr>
          <w:rFonts w:ascii="Arial" w:eastAsia="Times New Roman" w:hAnsi="Arial" w:cs="Arial"/>
          <w:color w:val="1B1C1D"/>
        </w:rPr>
        <w:lastRenderedPageBreak/>
        <w:t>The fact that it can lead to autoimmunity reinforces that this is a compromise, but one that is evolutionarily favored because the benefits (broad pathogen defense) outweigh the risks, provided robust tolerance mechanisms are in place. This observation highlights that biological systems often achieve optimal function not through perfect precision in every component, but through a clever interplay of mechanisms that collectively deliver robust performance. Cross-reactivity, coupled with the extensive tolerance mechanisms, represents a highly evolved strategy for balancing the competing demands of defense and self-preservation in the face of an unpredictable antigenic environment.</w:t>
      </w:r>
    </w:p>
    <w:p w14:paraId="08C2B79A" w14:textId="77777777" w:rsidR="00C57C2D" w:rsidRPr="00C57C2D" w:rsidRDefault="00C57C2D" w:rsidP="00C57C2D">
      <w:pPr>
        <w:outlineLvl w:val="2"/>
        <w:rPr>
          <w:rFonts w:ascii="Arial" w:eastAsia="Times New Roman" w:hAnsi="Arial" w:cs="Arial"/>
          <w:b/>
          <w:bCs/>
          <w:color w:val="1B1C1D"/>
        </w:rPr>
      </w:pPr>
      <w:r w:rsidRPr="00C57C2D">
        <w:rPr>
          <w:rFonts w:ascii="Arial" w:eastAsia="Times New Roman" w:hAnsi="Arial" w:cs="Arial"/>
          <w:b/>
          <w:bCs/>
          <w:color w:val="1B1C1D"/>
          <w:bdr w:val="none" w:sz="0" w:space="0" w:color="auto" w:frame="1"/>
        </w:rPr>
        <w:t>4. Conclusion: Interplay of Mechanisms and Future Perspectives</w:t>
      </w:r>
    </w:p>
    <w:p w14:paraId="310A32C3" w14:textId="77777777" w:rsidR="00C57C2D" w:rsidRPr="00C57C2D" w:rsidRDefault="00C57C2D" w:rsidP="00C57C2D">
      <w:pPr>
        <w:spacing w:after="240"/>
        <w:rPr>
          <w:rFonts w:ascii="Arial" w:eastAsia="Times New Roman" w:hAnsi="Arial" w:cs="Arial"/>
          <w:color w:val="1B1C1D"/>
        </w:rPr>
      </w:pPr>
      <w:r w:rsidRPr="00C57C2D">
        <w:rPr>
          <w:rFonts w:ascii="Arial" w:eastAsia="Times New Roman" w:hAnsi="Arial" w:cs="Arial"/>
          <w:color w:val="1B1C1D"/>
        </w:rPr>
        <w:t>The remarkable ability of T cells to achieve both high sensitivity and exquisite specificity is not attributable to a single mechanism but rather to a sophisticated, multi-layered, and interconnected biological system. This report has detailed how various components work in concert to ensure immune discrimination and host protection.</w:t>
      </w:r>
    </w:p>
    <w:p w14:paraId="6F4A35EF" w14:textId="77777777" w:rsidR="00C57C2D" w:rsidRPr="00C57C2D" w:rsidRDefault="00C57C2D" w:rsidP="00C57C2D">
      <w:pPr>
        <w:spacing w:after="240"/>
        <w:rPr>
          <w:rFonts w:ascii="Arial" w:eastAsia="Times New Roman" w:hAnsi="Arial" w:cs="Arial"/>
          <w:color w:val="1B1C1D"/>
        </w:rPr>
      </w:pPr>
      <w:r w:rsidRPr="00C57C2D">
        <w:rPr>
          <w:rFonts w:ascii="Arial" w:eastAsia="Times New Roman" w:hAnsi="Arial" w:cs="Arial"/>
          <w:color w:val="1B1C1D"/>
        </w:rPr>
        <w:t>The journey begins with the genetic generation of immense TCR diversity, ensuring a broad repertoire capable of recognizing a vast array of potential threats. This diversity is then channeled through the fundamental constraint of MHC restriction, which inherently focuses T-cell recognition on cell-associated antigens. The precision of TCR-pMHC interactions is further refined by kinetic proofreading, a mechanism that amplifies subtle differences in ligand dwell time into robust signaling decisions, effectively distinguishing cognate foreign antigens from abundant self-ligands. Co-receptors (CD4 and CD8) play a vital role not only in amplifying these signals by recruiting key kinases like Lck but also in reinforcing the specificity of the TCR-pMHC bond. Downstream, intricate intracellular signaling cascades, characterized by hierarchical phosphorylation and the formation of multi-molecular signalosomes, act as internal checkpoints, translating sustained receptor engagement into definitive cellular responses. Finally, a comprehensive system of central and peripheral tolerance mechanisms serves as a crucial fail-safe, rigorously purging highly self-reactive clones and managing the inherent risks posed by TCR cross-reactivity, which, despite its potential for autoimmunity, is a necessary evolutionary compromise for broad repertoire coverage.</w:t>
      </w:r>
    </w:p>
    <w:p w14:paraId="0D03FC87" w14:textId="77777777" w:rsidR="00C57C2D" w:rsidRPr="00C57C2D" w:rsidRDefault="00C57C2D" w:rsidP="00C57C2D">
      <w:pPr>
        <w:spacing w:after="240"/>
        <w:rPr>
          <w:rFonts w:ascii="Arial" w:eastAsia="Times New Roman" w:hAnsi="Arial" w:cs="Arial"/>
          <w:color w:val="1B1C1D"/>
        </w:rPr>
      </w:pPr>
      <w:r w:rsidRPr="00C57C2D">
        <w:rPr>
          <w:rFonts w:ascii="Arial" w:eastAsia="Times New Roman" w:hAnsi="Arial" w:cs="Arial"/>
          <w:color w:val="1B1C1D"/>
        </w:rPr>
        <w:t>This integrated system constantly navigates an inherent trade-off between the imperative for robust responses to threats and the critical need to avoid self-harm. This balance is dynamically optimized, adapting to various physiological, environmental, and evolutionary pressures throughout an organism's lifespan.</w:t>
      </w:r>
    </w:p>
    <w:p w14:paraId="6CFB6D54" w14:textId="77777777" w:rsidR="00C57C2D" w:rsidRPr="00C57C2D" w:rsidRDefault="00C57C2D" w:rsidP="00C57C2D">
      <w:pPr>
        <w:rPr>
          <w:rFonts w:ascii="Arial" w:eastAsia="Times New Roman" w:hAnsi="Arial" w:cs="Arial"/>
          <w:color w:val="1B1C1D"/>
        </w:rPr>
      </w:pPr>
      <w:r w:rsidRPr="00C57C2D">
        <w:rPr>
          <w:rFonts w:ascii="Arial" w:eastAsia="Times New Roman" w:hAnsi="Arial" w:cs="Arial"/>
          <w:color w:val="1B1C1D"/>
        </w:rPr>
        <w:t xml:space="preserve">A deep and nuanced understanding of these mechanisms is crucial for advancing immunotherapies and addressing significant clinical challenges. For instance, manipulating T-cell sensitivity and specificity offers promising avenues for enhancing the efficacy of cancer immunotherapies, such as adoptive T-cell therapies (e.g., CAR T cells) </w:t>
      </w:r>
      <w:r w:rsidRPr="00C57C2D">
        <w:rPr>
          <w:rFonts w:ascii="Arial" w:eastAsia="Times New Roman" w:hAnsi="Arial" w:cs="Arial"/>
          <w:color w:val="575B5F"/>
          <w:bdr w:val="none" w:sz="0" w:space="0" w:color="auto" w:frame="1"/>
          <w:vertAlign w:val="superscript"/>
        </w:rPr>
        <w:t>1</w:t>
      </w:r>
      <w:r w:rsidRPr="00C57C2D">
        <w:rPr>
          <w:rFonts w:ascii="Arial" w:eastAsia="Times New Roman" w:hAnsi="Arial" w:cs="Arial"/>
          <w:color w:val="1B1C1D"/>
        </w:rPr>
        <w:t>, while simultaneously developing strategies to mitigate or prevent autoimmune diseases and chronic infections.</w:t>
      </w:r>
    </w:p>
    <w:p w14:paraId="049E28C1" w14:textId="77777777" w:rsidR="00C57C2D" w:rsidRPr="00C57C2D" w:rsidRDefault="00C57C2D" w:rsidP="00C57C2D">
      <w:pPr>
        <w:spacing w:after="240"/>
        <w:rPr>
          <w:rFonts w:ascii="Arial" w:eastAsia="Times New Roman" w:hAnsi="Arial" w:cs="Arial"/>
          <w:color w:val="1B1C1D"/>
        </w:rPr>
      </w:pPr>
      <w:r w:rsidRPr="00C57C2D">
        <w:rPr>
          <w:rFonts w:ascii="Arial" w:eastAsia="Times New Roman" w:hAnsi="Arial" w:cs="Arial"/>
          <w:color w:val="1B1C1D"/>
        </w:rPr>
        <w:t xml:space="preserve">Future research will continue to elucidate the precise biophysical parameters governing TCR-pMHC interactions, particularly refining our understanding of multi-thread kinetic proofreading models. Further exploration of the complex regulatory networks that fine-tune T-cell responses in health and disease will be essential. A deeper appreciation of </w:t>
      </w:r>
      <w:r w:rsidRPr="00C57C2D">
        <w:rPr>
          <w:rFonts w:ascii="Arial" w:eastAsia="Times New Roman" w:hAnsi="Arial" w:cs="Arial"/>
          <w:color w:val="1B1C1D"/>
        </w:rPr>
        <w:lastRenderedPageBreak/>
        <w:t>the dynamic interplay between the beneficial aspects of cross-reactivity and the indispensable role of tolerance mechanisms will be paramount for developing more effective, safer, and precisely targeted immunomodulatory strategies.</w:t>
      </w:r>
    </w:p>
    <w:p w14:paraId="1E124DC5" w14:textId="77777777" w:rsidR="00C57C2D" w:rsidRDefault="00C57C2D"/>
    <w:sectPr w:rsidR="00C57C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E0B83"/>
    <w:multiLevelType w:val="multilevel"/>
    <w:tmpl w:val="9A1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F5EC9"/>
    <w:multiLevelType w:val="multilevel"/>
    <w:tmpl w:val="4122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502D4E"/>
    <w:multiLevelType w:val="multilevel"/>
    <w:tmpl w:val="7C12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DE4744"/>
    <w:multiLevelType w:val="multilevel"/>
    <w:tmpl w:val="9BCA2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354BA1"/>
    <w:multiLevelType w:val="multilevel"/>
    <w:tmpl w:val="5882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561915">
    <w:abstractNumId w:val="0"/>
  </w:num>
  <w:num w:numId="2" w16cid:durableId="554122198">
    <w:abstractNumId w:val="1"/>
  </w:num>
  <w:num w:numId="3" w16cid:durableId="906259173">
    <w:abstractNumId w:val="2"/>
  </w:num>
  <w:num w:numId="4" w16cid:durableId="287009057">
    <w:abstractNumId w:val="3"/>
  </w:num>
  <w:num w:numId="5" w16cid:durableId="14173630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C2D"/>
    <w:rsid w:val="00C57C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1269540"/>
  <w15:chartTrackingRefBased/>
  <w15:docId w15:val="{EF990FFF-F1F6-8C4A-9492-E278E19D8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57C2D"/>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C57C2D"/>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C2D"/>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C57C2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57C2D"/>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9900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6092</Words>
  <Characters>34726</Characters>
  <Application>Microsoft Office Word</Application>
  <DocSecurity>0</DocSecurity>
  <Lines>289</Lines>
  <Paragraphs>81</Paragraphs>
  <ScaleCrop>false</ScaleCrop>
  <Company/>
  <LinksUpToDate>false</LinksUpToDate>
  <CharactersWithSpaces>40737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 Lingrui</dc:creator>
  <cp:keywords/>
  <dc:description/>
  <cp:lastModifiedBy>Xu Lingrui</cp:lastModifiedBy>
  <cp:revision>1</cp:revision>
  <dcterms:created xsi:type="dcterms:W3CDTF">2025-07-31T11:37:00Z</dcterms:created>
  <dcterms:modified xsi:type="dcterms:W3CDTF">2025-07-31T11:37:00Z</dcterms:modified>
</cp:coreProperties>
</file>