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b/>
          <w:sz w:val="52"/>
        </w:rPr>
        <w:t>分子对接多 Agent 协作系统</w:t>
      </w:r>
    </w:p>
    <w:p>
      <w:pPr>
        <w:jc w:val="center"/>
      </w:pPr>
      <w:r>
        <w:rPr>
          <w:color w:val="555F6B"/>
          <w:sz w:val="24"/>
        </w:rPr>
        <w:t>技术文档 · 框架 / 运行原理 / 使用说明</w:t>
      </w:r>
    </w:p>
    <w:p>
      <w:pPr>
        <w:jc w:val="center"/>
      </w:pPr>
      <w:r>
        <w:rPr>
          <w:color w:val="555F6B"/>
          <w:sz w:val="21"/>
        </w:rPr>
        <w:t>仓库：https://github.com/yuhao233/Docking-Multi-agent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Noto Sans CJK SC" w:hAnsi="Noto Sans CJK SC" w:eastAsia="Noto Sans CJK SC"/>
          <w:color w:val="1F2733"/>
          <w:sz w:val="40"/>
        </w:rPr>
        <w:t>分子对接多 Agent 协作系统 · 技术文档</w:t>
      </w:r>
    </w:p>
    <w:p>
      <w:pPr>
        <w:ind w:firstLine="0"/>
      </w:pPr>
      <w:r>
        <w:rPr>
          <w:b/>
          <w:sz w:val="21"/>
        </w:rPr>
        <w:t>仓库地址</w:t>
      </w:r>
      <w:r>
        <w:rPr>
          <w:sz w:val="21"/>
        </w:rPr>
        <w:t>：&lt;https://github.com/yuhao233/Docking-Multi-agent&gt;</w:t>
      </w:r>
    </w:p>
    <w:p>
      <w:pPr>
        <w:ind w:firstLine="0"/>
      </w:pPr>
      <w:r>
        <w:rPr>
          <w:sz w:val="21"/>
        </w:rPr>
        <w:t xml:space="preserve">&gt; </w:t>
      </w:r>
      <w:r>
        <w:rPr>
          <w:b/>
          <w:sz w:val="21"/>
        </w:rPr>
        <w:t>文档分工</w:t>
      </w:r>
      <w:r>
        <w:rPr>
          <w:sz w:val="21"/>
        </w:rPr>
        <w:t>（2026-09 文档收敛）：本文是</w:t>
      </w:r>
      <w:r>
        <w:rPr>
          <w:b/>
          <w:sz w:val="21"/>
        </w:rPr>
        <w:t>读者向概览</w:t>
      </w:r>
      <w:r>
        <w:rPr>
          <w:sz w:val="21"/>
        </w:rPr>
        <w:t xml:space="preserve">——用一篇文章讲清「是什么 / 怎么运行 / &gt; 怎么使用」；工程细节（安装、全部配置项、接口速查、门禁验收）见 &gt; </w:t>
      </w:r>
      <w:r>
        <w:rPr>
          <w:sz w:val="21"/>
        </w:rPr>
        <w:t>`projects/README.md`</w:t>
      </w:r>
      <w:r>
        <w:rPr>
          <w:sz w:val="21"/>
        </w:rPr>
        <w:t xml:space="preserve">，开发规范与不变量见 &gt; </w:t>
      </w:r>
      <w:r>
        <w:rPr>
          <w:sz w:val="21"/>
        </w:rPr>
        <w:t>`projects/docs/architecture.md`</w:t>
      </w:r>
      <w:r>
        <w:rPr>
          <w:sz w:val="21"/>
        </w:rPr>
        <w:t xml:space="preserve">，HTTP 契约见 &gt; </w:t>
      </w:r>
      <w:r>
        <w:rPr>
          <w:sz w:val="21"/>
        </w:rPr>
        <w:t>`projects/docs/api.md`</w:t>
      </w:r>
      <w:r>
        <w:rPr>
          <w:sz w:val="21"/>
        </w:rPr>
        <w:t xml:space="preserve">，含实测数据的完整技术报告见 &gt; </w:t>
      </w:r>
      <w:r>
        <w:rPr>
          <w:sz w:val="21"/>
        </w:rPr>
        <w:t>`projects/docs/技术报告.md`</w:t>
      </w:r>
      <w:r>
        <w:rPr>
          <w:sz w:val="21"/>
        </w:rPr>
        <w:t>。本文不重复这些细节，只给可读的全局叙述。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摘要</w:t>
      </w:r>
    </w:p>
    <w:p>
      <w:pPr>
        <w:ind w:firstLine="0"/>
      </w:pPr>
      <w:r>
        <w:rPr>
          <w:sz w:val="21"/>
        </w:rPr>
        <w:t>本系统面向小分子筛选与结合模式评估任务，把"分子库准备—理化性质评估—结合口袋定盒—真实分子对接—结合模式比较—排序与报告"这一条实验流程交给若干协作的语言模型智能体来编排，而把全部数值计算交给确定性的计算内核。系统采用一个协调智能体加四个职能子智能体的结构，协调智能体只做决策、分发与汇总，子智能体只调用工具并返回结构化结果，真实计算由 AutoDock Vina、RDKit、Meeko 与（可选的）P2Rank 完成。所有中间结果与产物按次运行落盘，报告中的每一个数值都可以回溯到工具输出。系统提供网页界面、命令行与 HTTP 接口三种使用方式。网页界面分两套：</w:t>
      </w:r>
      <w:r>
        <w:rPr>
          <w:b/>
          <w:sz w:val="21"/>
        </w:rPr>
        <w:t>简易模式</w:t>
      </w:r>
      <w:r>
        <w:rPr>
          <w:sz w:val="21"/>
        </w:rPr>
        <w:t>（默认首页， 仅「任务描述 + 筛选结果」两块，参数由默认值与受理层自动规划）与</w:t>
      </w:r>
      <w:r>
        <w:rPr>
          <w:b/>
          <w:sz w:val="21"/>
        </w:rPr>
        <w:t>高级模式</w:t>
      </w:r>
      <w:r>
        <w:rPr>
          <w:sz w:val="21"/>
        </w:rPr>
        <w:t>（三栏工作台： 参数表单、对话与结果、运行详情，另有历史检索、报告全文与设置页），顶栏可切换。接口分为承载业务的 产品接口与遵循标准智能体协议的运行接口两组，共四十余个端点，覆盖运行发起、状态查询、产物下载与 历史检索。交互口径见 1.3：需要用户裁决的只有影响对接本身的问题，其余执行细节由系统处理。</w:t>
      </w:r>
    </w:p>
    <w:p>
      <w:pPr>
        <w:ind w:firstLine="0"/>
      </w:pPr>
      <w:r>
        <w:rPr>
          <w:b/>
          <w:sz w:val="21"/>
        </w:rPr>
        <w:t>关键词</w:t>
      </w:r>
      <w:r>
        <w:rPr>
          <w:sz w:val="21"/>
        </w:rPr>
        <w:t>：分子对接；多智能体协作；虚拟筛选；可复现性；AutoDock Vina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1 系统定位与适用范围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1.1 要实现什么</w:t>
      </w:r>
    </w:p>
    <w:p>
      <w:pPr>
        <w:ind w:firstLine="0"/>
      </w:pPr>
      <w:r>
        <w:rPr>
          <w:sz w:val="21"/>
        </w:rPr>
        <w:t>给定一个蛋白质受体与一批候选小分子，系统完成完整的筛选与评估流程，并输出可核查的结果：</w:t>
      </w:r>
    </w:p>
    <w:p>
      <w:pPr>
        <w:pStyle w:val="ListBullet"/>
        <w:spacing w:after="40"/>
      </w:pPr>
      <w:r>
        <w:rPr>
          <w:sz w:val="21"/>
        </w:rPr>
        <w:t>受体准备：从用户上传的结构文件或在线结构库（按 PDB 编号、UniProt 登录号、基因名检索）获取受体，现场制备为对接输入；受体必须由用户指定，系统</w:t>
      </w:r>
      <w:r>
        <w:rPr>
          <w:b/>
          <w:sz w:val="21"/>
        </w:rPr>
        <w:t>没有默认受体</w:t>
      </w:r>
      <w:r>
        <w:rPr>
          <w:sz w:val="21"/>
        </w:rPr>
        <w:t>（注册表预置受体仅供内部测试）；</w:t>
      </w:r>
    </w:p>
    <w:p>
      <w:pPr>
        <w:pStyle w:val="ListBullet"/>
        <w:spacing w:after="40"/>
      </w:pPr>
      <w:r>
        <w:rPr>
          <w:sz w:val="21"/>
        </w:rPr>
        <w:t>结合位点：优先使用用户给定的坐标，其次使用受体的已知位点，否则由口袋预测或内置几何方法确定，并记录盒子来源与依据；</w:t>
      </w:r>
    </w:p>
    <w:p>
      <w:pPr>
        <w:pStyle w:val="ListBullet"/>
        <w:spacing w:after="40"/>
      </w:pPr>
      <w:r>
        <w:rPr>
          <w:sz w:val="21"/>
        </w:rPr>
        <w:t>对接计算：以 AutoDock Vina 为主引擎，可选 AutoDock4 作为备用，支持大库的分阶段计算；</w:t>
      </w:r>
    </w:p>
    <w:p>
      <w:pPr>
        <w:pStyle w:val="ListBullet"/>
        <w:spacing w:after="40"/>
      </w:pPr>
      <w:r>
        <w:rPr>
          <w:sz w:val="21"/>
        </w:rPr>
        <w:t>性质与结合模式：RDKit 计算理化性质与类药性；以分子指纹、药效团锚定与阳性对照比较刻画结合模式；</w:t>
      </w:r>
    </w:p>
    <w:p>
      <w:pPr>
        <w:pStyle w:val="ListBullet"/>
        <w:spacing w:after="40"/>
      </w:pPr>
      <w:r>
        <w:rPr>
          <w:sz w:val="21"/>
        </w:rPr>
        <w:t>交付：按次运行的目录中保存报告、排序表、图表、位姿与受体结构，便于复核与复现。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1.2 非目标</w:t>
      </w:r>
    </w:p>
    <w:p>
      <w:pPr>
        <w:ind w:firstLine="0"/>
      </w:pPr>
      <w:r>
        <w:rPr>
          <w:sz w:val="21"/>
        </w:rPr>
        <w:t>系统不生成新分子，不进行骨架跃迁或定量构效关系建模；不实现自研对接引擎与打分函数，只对既有引擎做编排与取证；不做多用户与权限体系，默认只监听本机地址。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1.3 设计原则</w:t>
      </w:r>
    </w:p>
    <w:p>
      <w:pPr>
        <w:ind w:firstLine="0"/>
      </w:pPr>
      <w:r>
        <w:rPr>
          <w:b/>
          <w:sz w:val="21"/>
        </w:rPr>
        <w:t>数值只来自计算。</w:t>
      </w:r>
      <w:r>
        <w:rPr>
          <w:sz w:val="21"/>
        </w:rPr>
        <w:t xml:space="preserve"> 语言模型负责选择流程、解释结果与撰写文字判断，任何亲和力、性质、相似度都必须来自工具返回；模型不得推断或补全缺失数值。</w:t>
      </w:r>
    </w:p>
    <w:p>
      <w:pPr>
        <w:ind w:firstLine="0"/>
      </w:pPr>
      <w:r>
        <w:rPr>
          <w:b/>
          <w:sz w:val="21"/>
        </w:rPr>
        <w:t>降级必须可见。</w:t>
      </w:r>
      <w:r>
        <w:rPr>
          <w:sz w:val="21"/>
        </w:rPr>
        <w:t xml:space="preserve"> 可选组件缺失、输入被改写、分子被跳过，都会写入运行记录与报告，而不是静默替换。例如缺少质子化工具时，报告会说明受体未按目标 pH 重新分配质子化态。</w:t>
      </w:r>
    </w:p>
    <w:p>
      <w:pPr>
        <w:ind w:firstLine="0"/>
      </w:pPr>
      <w:r>
        <w:rPr>
          <w:b/>
          <w:sz w:val="21"/>
        </w:rPr>
        <w:t>能力只有一处实现。</w:t>
      </w:r>
      <w:r>
        <w:rPr>
          <w:sz w:val="21"/>
        </w:rPr>
        <w:t xml:space="preserve"> 同一能力不在两个地方各写一遍：编排能力集中在智能体与工具层，计算能力集中在计算内核，接口形态只有一份实现。这条约束直接影响系统的可维护性与结果一致性。</w:t>
      </w:r>
    </w:p>
    <w:p>
      <w:pPr>
        <w:ind w:firstLine="0"/>
      </w:pPr>
      <w:r>
        <w:rPr>
          <w:b/>
          <w:sz w:val="21"/>
        </w:rPr>
        <w:t>一次运行一份记录。</w:t>
      </w:r>
      <w:r>
        <w:rPr>
          <w:sz w:val="21"/>
        </w:rPr>
        <w:t xml:space="preserve"> 运行目录自包含，可整目录迁移；报告中的结论与产物清单一一对应。</w:t>
      </w:r>
    </w:p>
    <w:p>
      <w:pPr>
        <w:ind w:firstLine="0"/>
      </w:pPr>
      <w:r>
        <w:rPr>
          <w:b/>
          <w:sz w:val="21"/>
        </w:rPr>
        <w:t>执行细节自主处理，用户只裁决影响对接的问题。</w:t>
      </w:r>
      <w:r>
        <w:rPr>
          <w:sz w:val="21"/>
        </w:rPr>
        <w:t xml:space="preserve"> 需要用户决定的只有三类：受体不可用或存在多个同等 合理的候选、多组分分子的代表结构取法、共晶配体是否作为阳性对照 —— 三者都直接改变计算对象或方法学 基线，系统因此不执行计算，只下发候选项，并把选择作为请求字段在同一会话内续跑。其余情形按执行细节 处理：工具与模型的瞬时失败自动重试；达到递归上限时自动放宽（120 → 240 → 480）并从检查点续跑， 到顶由协调智能体用现有结果收尾并照常产出报告（执行类失败不向用户上报为错误）；同一问题只下发一次， 候选在本轮输出结束后才挂出；页面刷新后结果区置空，往次结果由历史运行载回。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2 总体框架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2.1 分层结构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1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F6B"/>
          <w:sz w:val="18"/>
        </w:rPr>
        <w:t>图 系统分层与依赖方向</w:t>
      </w:r>
    </w:p>
    <w:p>
      <w:pPr>
        <w:ind w:firstLine="0"/>
      </w:pPr>
      <w:r>
        <w:rPr>
          <w:sz w:val="21"/>
        </w:rPr>
        <w:t>依赖方向单向向下：接入层调用受理层，受理层产出任务规约交给编排层，编排层经运行支撑层调用计算层， 记录层贯穿全过程。计算层不感知语言模型的存在，因此可以脱离智能体单独运行，这既是离线能力的基础， 也是测试与复现的基础。受理层与运行支撑层是随产品演进补上的两处边界：前者把「自然语言 → 可执行规约」 的判定与工具执行解耦，后者把共享状态、产物交接、运行事实、步数预算与事件流从 Agent 代码中抽出。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2.2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层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主要模块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接入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api/</w:t>
            </w:r>
            <w:r>
              <w:rPr>
                <w:sz w:val="19"/>
              </w:rPr>
              <w:t xml:space="preserve">（含 </w:t>
            </w:r>
            <w:r>
              <w:rPr>
                <w:rFonts w:ascii="DejaVu Sans Mono" w:hAnsi="DejaVu Sans Mono"/>
                <w:sz w:val="17"/>
              </w:rPr>
              <w:t>routers/</w:t>
            </w:r>
            <w:r>
              <w:rPr>
                <w:sz w:val="19"/>
              </w:rPr>
              <w:t>、标准协议面）、</w:t>
            </w:r>
            <w:r>
              <w:rPr>
                <w:rFonts w:ascii="DejaVu Sans Mono" w:hAnsi="DejaVu Sans Mono"/>
                <w:sz w:val="17"/>
              </w:rPr>
              <w:t>web/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cli.py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两套网页界面、产品接口与标准智能体协议、命令行入口、安全守卫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受理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intake.py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自然语言与表单 → 任务规约与执行决策；会话继承；受体与配体的在线解析编排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编排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agents/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协调智能体、四个子智能体、工具分发、中间件治理、条件纪律段、工具调用序列自愈、结果合并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运行支撑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runtime/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事件流、共享黑板、产物落盘、运行事实、步数预算、模型构建、运行上下文与检查点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计算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core/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tools/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受体与配体准备、口袋与定盒、对接引擎、性质与指纹、质子化、排序；工具层是内核的智能体接口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记录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runs.py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reporting/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运行目录、产物登记、报告与图表、打包下载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部署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langgraph-deploy/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平台化运行（图谱定义、Studio 与 SDK 接入）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2.3 两种运行形态</w:t>
      </w:r>
    </w:p>
    <w:p>
      <w:pPr>
        <w:ind w:firstLine="0"/>
      </w:pPr>
      <w:r>
        <w:rPr>
          <w:sz w:val="21"/>
        </w:rPr>
        <w:t>系统对外提供两个面。</w:t>
      </w:r>
      <w:r>
        <w:rPr>
          <w:b/>
          <w:sz w:val="21"/>
        </w:rPr>
        <w:t>本地产品面</w:t>
      </w:r>
      <w:r>
        <w:rPr>
          <w:sz w:val="21"/>
        </w:rPr>
        <w:t>是单进程服务，承载网页界面、产物下载、上传与设置，是日常使用方式；</w:t>
      </w:r>
      <w:r>
        <w:rPr>
          <w:b/>
          <w:sz w:val="21"/>
        </w:rPr>
        <w:t>平台面</w:t>
      </w:r>
      <w:r>
        <w:rPr>
          <w:sz w:val="21"/>
        </w:rPr>
        <w:t>把同一份代码暴露为若干张图，供可视化调试与编程接入使用。两者共用编排层与计算层代码，不各写一套。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3 运行原理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3.1 任务受理</w:t>
      </w:r>
    </w:p>
    <w:p>
      <w:pPr>
        <w:ind w:firstLine="0"/>
      </w:pPr>
      <w:r>
        <w:rPr>
          <w:sz w:val="21"/>
        </w:rPr>
        <w:t>用户输入先经过受理层，被解析为结构化任务规约：任务类型、受体来源、位点来源、对接参数、关键假设与决策。受理层给出的决策有三种——执行、请求补充信息、拒绝；后两者不会调用任何计算工具，因此不会产生空报告。</w:t>
      </w:r>
    </w:p>
    <w:p>
      <w:pPr>
        <w:ind w:firstLine="0"/>
      </w:pPr>
      <w:r>
        <w:rPr>
          <w:sz w:val="21"/>
        </w:rPr>
        <w:t>受理层的输出随消息一起交给协调智能体，智能体据此执行，不再重新解析用户语言。这一步把"理解需求"与"执行任务"分开，使参数来源与决策依据都可以在运行记录中查到。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3.2 协作结构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30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3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F6B"/>
          <w:sz w:val="18"/>
        </w:rPr>
        <w:t>图 协作架构</w:t>
      </w:r>
    </w:p>
    <w:p>
      <w:pPr>
        <w:ind w:firstLine="0"/>
      </w:pPr>
      <w:r>
        <w:rPr>
          <w:sz w:val="21"/>
        </w:rPr>
        <w:t>协调智能体掌握全部工具，负责判断需要哪些环节、以什么顺序执行、何时停止、结果如何组织。四个子智能体各自持有一组专用工具：</w:t>
      </w:r>
    </w:p>
    <w:p>
      <w:pPr>
        <w:pStyle w:val="ListBullet"/>
        <w:spacing w:after="40"/>
      </w:pPr>
      <w:r>
        <w:rPr>
          <w:b/>
          <w:sz w:val="21"/>
        </w:rPr>
        <w:t>口袋分析</w:t>
      </w:r>
      <w:r>
        <w:rPr>
          <w:sz w:val="21"/>
        </w:rPr>
        <w:t>：预测结合口袋、与实验位点比对、选定对接盒并写入共享状态；</w:t>
      </w:r>
    </w:p>
    <w:p>
      <w:pPr>
        <w:pStyle w:val="ListBullet"/>
        <w:spacing w:after="40"/>
      </w:pPr>
      <w:r>
        <w:rPr>
          <w:b/>
          <w:sz w:val="21"/>
        </w:rPr>
        <w:t>分子属性评估</w:t>
      </w:r>
      <w:r>
        <w:rPr>
          <w:sz w:val="21"/>
        </w:rPr>
        <w:t>：计算理化性质、类药性与结构规范化的相关指标；</w:t>
      </w:r>
    </w:p>
    <w:p>
      <w:pPr>
        <w:pStyle w:val="ListBullet"/>
        <w:spacing w:after="40"/>
      </w:pPr>
      <w:r>
        <w:rPr>
          <w:b/>
          <w:sz w:val="21"/>
        </w:rPr>
        <w:t>对接执行</w:t>
      </w:r>
      <w:r>
        <w:rPr>
          <w:sz w:val="21"/>
        </w:rPr>
        <w:t>：确定受体与位点、按参数执行真实对接、按规模选择分阶段策略；</w:t>
      </w:r>
    </w:p>
    <w:p>
      <w:pPr>
        <w:pStyle w:val="ListBullet"/>
        <w:spacing w:after="40"/>
      </w:pPr>
      <w:r>
        <w:rPr>
          <w:b/>
          <w:sz w:val="21"/>
        </w:rPr>
        <w:t>结合模式检测</w:t>
      </w:r>
      <w:r>
        <w:rPr>
          <w:sz w:val="21"/>
        </w:rPr>
        <w:t>：以指纹与药效团刻画结合模式，并与阳性对照比较。</w:t>
      </w:r>
    </w:p>
    <w:p>
      <w:pPr>
        <w:ind w:firstLine="0"/>
      </w:pPr>
      <w:r>
        <w:rPr>
          <w:sz w:val="21"/>
        </w:rPr>
        <w:t>子智能体按"无状态执行器"设计：每次调用使用独立会话，不依赖上一次的输出，因此同一轮对话中重复调用不会产生上下文串扰。跨步骤需要共享的信息一律走运行级通道。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3.3 一次运行的时序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6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F6B"/>
          <w:sz w:val="18"/>
        </w:rPr>
        <w:t>图 运行链路</w:t>
      </w:r>
    </w:p>
    <w:p>
      <w:pPr>
        <w:ind w:firstLine="0"/>
      </w:pPr>
      <w:r>
        <w:rPr>
          <w:sz w:val="21"/>
        </w:rPr>
        <w:t>一次完整运行包含九个环节：提交指令、生成任务规约、按需分发工具、真实计算、明细落盘、摘要回传、流式事件反馈、报告与产物生成、下载与回看。界面在执行过程中持续收到事件流：文本增量、阶段进展、领域事件（逐分子对接结果）、</w:t>
      </w:r>
      <w:r>
        <w:rPr>
          <w:b/>
          <w:sz w:val="21"/>
        </w:rPr>
        <w:t>思考增量</w:t>
      </w:r>
      <w:r>
        <w:rPr>
          <w:sz w:val="21"/>
        </w:rPr>
        <w:t>（单独成轨并折叠，不混进正文）与</w:t>
      </w:r>
      <w:r>
        <w:rPr>
          <w:b/>
          <w:sz w:val="21"/>
        </w:rPr>
        <w:t>步数预算事件</w:t>
      </w:r>
      <w:r>
        <w:rPr>
          <w:sz w:val="21"/>
        </w:rPr>
        <w:t>（自动放宽或收尾时如实告知）。需要用户决定的候选选项在本轮输出结束后才挂出，避免与进行中的运行抢跑；长任务因此既不会表现为无响应，也不会在执行细节上打扰用户。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3.4 数据交接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95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F6B"/>
          <w:sz w:val="18"/>
        </w:rPr>
        <w:t>图 数据流与产物</w:t>
      </w:r>
    </w:p>
    <w:p>
      <w:pPr>
        <w:ind w:firstLine="0"/>
      </w:pPr>
      <w:r>
        <w:rPr>
          <w:sz w:val="21"/>
        </w:rPr>
        <w:t>协作中的数据分两类处理。</w:t>
      </w:r>
      <w:r>
        <w:rPr>
          <w:b/>
          <w:sz w:val="21"/>
        </w:rPr>
        <w:t>小状态</w:t>
      </w:r>
      <w:r>
        <w:rPr>
          <w:sz w:val="21"/>
        </w:rPr>
        <w:t>（受体、位点盒、分子库标识、阳性对照）写入共享状态，供各子智能体读取；</w:t>
      </w:r>
      <w:r>
        <w:rPr>
          <w:b/>
          <w:sz w:val="21"/>
        </w:rPr>
        <w:t>大表</w:t>
      </w:r>
      <w:r>
        <w:rPr>
          <w:sz w:val="21"/>
        </w:rPr>
        <w:t>（分子清单、性质明细、对接明细）落盘为运行产物，按文件路径交接。后一条是系统能处理上万条分子的前提：明细不进入模型上下文，模型只读摘要与排序，完整数据由计算内核与报告层直接消费。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3.5 计算与并行</w:t>
      </w:r>
    </w:p>
    <w:p>
      <w:pPr>
        <w:ind w:firstLine="0"/>
      </w:pPr>
      <w:r>
        <w:rPr>
          <w:sz w:val="21"/>
        </w:rPr>
        <w:t>对接是流程中唯一的时间瓶颈，系统对此做两件事。</w:t>
      </w:r>
    </w:p>
    <w:p>
      <w:pPr>
        <w:ind w:firstLine="0"/>
      </w:pPr>
      <w:r>
        <w:rPr>
          <w:sz w:val="21"/>
        </w:rPr>
        <w:t>其一是</w:t>
      </w:r>
      <w:r>
        <w:rPr>
          <w:b/>
          <w:sz w:val="21"/>
        </w:rPr>
        <w:t>按机器规划并行度</w:t>
      </w:r>
      <w:r>
        <w:rPr>
          <w:sz w:val="21"/>
        </w:rPr>
        <w:t>。单分子搜索可借线程加速，但存在饱和点；多进程又要为每个进程重复构建网格图并争抢内存带宽。系统先按可用核数（并考虑容器配额与 CPU 亲和性）确定线程数，再用进程数填满剩余算力，并预留一个核给服务本身。</w:t>
      </w:r>
    </w:p>
    <w:p>
      <w:pPr>
        <w:ind w:firstLine="0"/>
      </w:pPr>
      <w:r>
        <w:rPr>
          <w:sz w:val="21"/>
        </w:rPr>
        <w:t>其二是</w:t>
      </w:r>
      <w:r>
        <w:rPr>
          <w:b/>
          <w:sz w:val="21"/>
        </w:rPr>
        <w:t>两阶段筛选</w:t>
      </w:r>
      <w:r>
        <w:rPr>
          <w:sz w:val="21"/>
        </w:rPr>
        <w:t>。候选规模超过阈值时，先以较低搜索强度完成全库粗筛，再对头部分子以更高强度精算；同一分子若两轮都有结果，保留精度更高的一条，粗筛分数单独保留以便比较。这一策略在精度与总耗时上都优于对全库统一使用高搜索强度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3.6 报告与可追溯性</w:t>
      </w:r>
    </w:p>
    <w:p>
      <w:pPr>
        <w:ind w:firstLine="0"/>
      </w:pPr>
      <w:r>
        <w:rPr>
          <w:sz w:val="21"/>
        </w:rPr>
        <w:t>报告采用固定骨架：系统与参数摘要、结果排序、推荐分子、理化性质、结合模式、方法与局限、失败与跳过、结论与建议、产物清单。第 3 章中每个推荐分子附一张结构卡，左侧为二维结构，右侧为该分子的关键指标。</w:t>
      </w:r>
    </w:p>
    <w:p>
      <w:pPr>
        <w:ind w:firstLine="0"/>
      </w:pPr>
      <w:r>
        <w:rPr>
          <w:sz w:val="21"/>
        </w:rPr>
        <w:t>除固定骨架外，协调智能体可以在不改变骨架的前提下按用户对输出的要求做调整（标题、附加列、要点），并把"用户要求与实际处理"记录在报告开头一节；若某项要求无法满足（例如输入文件不含所要求的字段），工具会回报覆盖率，模型必须如实说明，报告相应标注。运行记录同时保存实际使用的引擎与版本，跨引擎的分数不会被混入同一排序。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4 使用说明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4.1 安装与环境自检</w:t>
      </w:r>
    </w:p>
    <w:p>
      <w:pPr>
        <w:spacing w:before="80" w:after="160"/>
        <w:ind w:left="227"/>
        <w:shd w:val="clear" w:fill="F2F4F7"/>
      </w:pPr>
      <w:r>
        <w:rPr>
          <w:rFonts w:ascii="DejaVu Sans Mono" w:hAnsi="DejaVu Sans Mono"/>
          <w:sz w:val="18"/>
        </w:rPr>
        <w:t>git clone https://github.com/yuhao233/Docking-Multi-agent.git</w:t>
        <w:br/>
      </w:r>
      <w:r>
        <w:rPr>
          <w:rFonts w:ascii="DejaVu Sans Mono" w:hAnsi="DejaVu Sans Mono"/>
          <w:sz w:val="18"/>
        </w:rPr>
        <w:t>cd Docking-Multi-agent/projects</w:t>
        <w:br/>
      </w:r>
      <w:r>
        <w:rPr>
          <w:rFonts w:ascii="DejaVu Sans Mono" w:hAnsi="DejaVu Sans Mono"/>
          <w:sz w:val="18"/>
        </w:rPr>
        <w:t>bash scripts/doctor.sh          # 环境能力自检：有什么、缺什么、缺了什么会降级</w:t>
        <w:br/>
      </w:r>
      <w:r>
        <w:rPr>
          <w:rFonts w:ascii="DejaVu Sans Mono" w:hAnsi="DejaVu Sans Mono"/>
          <w:sz w:val="18"/>
        </w:rPr>
        <w:t>bash start.sh                   # 首次安装依赖并启动服务</w:t>
      </w:r>
    </w:p>
    <w:p>
      <w:r>
        <w:rPr>
          <w:color w:val="555F6B"/>
          <w:sz w:val="17"/>
        </w:rPr>
        <w:t>代码：bash</w:t>
      </w:r>
    </w:p>
    <w:p>
      <w:pPr>
        <w:ind w:firstLine="0"/>
      </w:pPr>
      <w:r>
        <w:rPr>
          <w:rFonts w:ascii="DejaVu Sans Mono" w:hAnsi="DejaVu Sans Mono"/>
          <w:sz w:val="19"/>
        </w:rPr>
        <w:t>doctor.sh</w:t>
      </w:r>
      <w:r>
        <w:rPr>
          <w:sz w:val="21"/>
        </w:rPr>
        <w:t xml:space="preserve"> 逐项检查运行环境并给出结论：必需组件缺失时以非零状态退出并给出补齐命令；可选组件缺失时说明相应能力如何降级。服务启动后默认地址为 </w:t>
      </w:r>
      <w:r>
        <w:rPr>
          <w:rFonts w:ascii="DejaVu Sans Mono" w:hAnsi="DejaVu Sans Mono"/>
          <w:sz w:val="19"/>
        </w:rPr>
        <w:t>http://127.0.0.1:5000</w:t>
      </w:r>
      <w:r>
        <w:rPr>
          <w:sz w:val="21"/>
        </w:rPr>
        <w:t xml:space="preserve">，端口被占用时自动顺延。默认只监听本机；若需在同一网段的其他机器上使用，把 </w:t>
      </w:r>
      <w:r>
        <w:rPr>
          <w:rFonts w:ascii="DejaVu Sans Mono" w:hAnsi="DejaVu Sans Mono"/>
          <w:sz w:val="19"/>
        </w:rPr>
        <w:t>HOST</w:t>
      </w:r>
      <w:r>
        <w:rPr>
          <w:sz w:val="21"/>
        </w:rPr>
        <w:t xml:space="preserve"> 设为 </w:t>
      </w:r>
      <w:r>
        <w:rPr>
          <w:rFonts w:ascii="DejaVu Sans Mono" w:hAnsi="DejaVu Sans Mono"/>
          <w:sz w:val="19"/>
        </w:rPr>
        <w:t>0.0.0.0</w:t>
      </w:r>
      <w:r>
        <w:rPr>
          <w:sz w:val="21"/>
        </w:rPr>
        <w:t xml:space="preserve"> 后重启，其他机器通过</w:t>
      </w:r>
      <w:r>
        <w:rPr>
          <w:rFonts w:ascii="DejaVu Sans Mono" w:hAnsi="DejaVu Sans Mono"/>
          <w:sz w:val="19"/>
        </w:rPr>
        <w:t>http://&lt;本机局域网 IP&gt;:&lt;端口&gt;</w:t>
      </w:r>
      <w:r>
        <w:rPr>
          <w:sz w:val="21"/>
        </w:rPr>
        <w:t xml:space="preserve"> 访问。服务不带鉴权，开放到局域网等于把全部运行结果、上传入口与设置项（含模型密钥）交给同网段的所有人，仅建议在可信网络中这样做。运行需要可用的模型端点（任意 OpenAI 兼容接口），配置项写入 </w:t>
      </w:r>
      <w:r>
        <w:rPr>
          <w:rFonts w:ascii="DejaVu Sans Mono" w:hAnsi="DejaVu Sans Mono"/>
          <w:sz w:val="19"/>
        </w:rPr>
        <w:t>.env</w:t>
      </w:r>
      <w:r>
        <w:rPr>
          <w:sz w:val="21"/>
        </w:rPr>
        <w:t>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4.2 两套界面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地址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形态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简易模式（默认）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</w:t>
            </w:r>
            <w:r>
              <w:rPr>
                <w:sz w:val="19"/>
              </w:rPr>
              <w:t xml:space="preserve">（别名 </w:t>
            </w:r>
            <w:r>
              <w:rPr>
                <w:rFonts w:ascii="DejaVu Sans Mono" w:hAnsi="DejaVu Sans Mono"/>
                <w:sz w:val="17"/>
              </w:rPr>
              <w:t>/simple</w:t>
            </w:r>
            <w:r>
              <w:rPr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只有「任务描述 + 筛选结果」两块，零参数表单；参数由默认值与受理层自动规划决定；结果区给前几名、关键指标与产物链接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高级模式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/advanced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三栏工作台（参数表单 / 对话与结果 / 运行详情），含历史检索、报告全文、中间数据与设置页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sz w:val="21"/>
        </w:rPr>
        <w:t>两套界面走同一条标准智能体协议链路与同一批产物接口，结果完全一致，只是暴露的操作面不同。 对话区的呈现遵循同一套约定：回复按 Markdown 渲染（含 HTML 先转义与链接方案白名单），流式阶段 即为渲染后的样子；模型的思考过程收进气泡内默认收起的「思考」块（推理时展开可见，正文一到即自动 收起并记用时）；助手回执不做默认折叠；需要用户决定的候选选项在本轮输出结束后才挂出。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4.3 对话方式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86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ch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F6B"/>
          <w:sz w:val="18"/>
        </w:rPr>
        <w:t>图 对话模式</w:t>
      </w:r>
    </w:p>
    <w:p>
      <w:pPr>
        <w:ind w:firstLine="0"/>
      </w:pPr>
      <w:r>
        <w:rPr>
          <w:sz w:val="21"/>
        </w:rPr>
        <w:t xml:space="preserve">在输入框描述目标即可，例如"用上传的分子库对接凝血酶，报告里带上小分子 ID"。运行参数区只下发被改动过的字段，其余按系统默认或自动规划执行，气泡下方的参数小票如实列出本次下发的参数。受体与分子库可以直接上传，也可以在指令中以 </w:t>
      </w:r>
      <w:r>
        <w:rPr>
          <w:rFonts w:ascii="DejaVu Sans Mono" w:hAnsi="DejaVu Sans Mono"/>
          <w:sz w:val="19"/>
        </w:rPr>
        <w:t>@文件名</w:t>
      </w:r>
      <w:r>
        <w:rPr>
          <w:sz w:val="21"/>
        </w:rPr>
        <w:t xml:space="preserve"> 引用已上传文件。</w:t>
      </w:r>
      <w:r>
        <w:rPr>
          <w:b/>
          <w:sz w:val="21"/>
        </w:rPr>
        <w:t>受体与分子库是必需项</w:t>
      </w:r>
      <w:r>
        <w:rPr>
          <w:sz w:val="21"/>
        </w:rPr>
        <w:t>：未指定受体时系统</w:t>
      </w:r>
      <w:r>
        <w:rPr>
          <w:b/>
          <w:sz w:val="21"/>
        </w:rPr>
        <w:t>只提问、零计算</w:t>
      </w:r>
      <w:r>
        <w:rPr>
          <w:sz w:val="21"/>
        </w:rPr>
        <w:t>（给出 PDB 编号 / UniProt 登录号 / 受体名称 / 上传结构文件三条出路），</w:t>
      </w:r>
      <w:r>
        <w:rPr>
          <w:b/>
          <w:sz w:val="21"/>
        </w:rPr>
        <w:t>不存在默认受体</w:t>
      </w:r>
      <w:r>
        <w:rPr>
          <w:sz w:val="21"/>
        </w:rPr>
        <w:t>；未给出分子来源且未明确同意用示例库时同样只提问。点名受体时系统先做在线解析，存在多个合理候选时给出可选项而不代为决定。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4.4 参数方式</w:t>
      </w:r>
    </w:p>
    <w:p>
      <w:pPr>
        <w:ind w:firstLine="0"/>
      </w:pPr>
      <w:r>
        <w:rPr>
          <w:sz w:val="21"/>
        </w:rPr>
        <w:t>参数方式以表单为权威输入，可显式指定受体、位点盒、分子库、引擎、搜索强度、输出位姿数、质子化态策略与阳性对照。搜索强度提供三档预设；位点盒留空时由口袋分析确定；阳性对照留空时跳过对照分析，报告相应注明。无论哪种输入方式，执行都由同一套编排逻辑完成，因此结果结构与产物组织保持一致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4.5 结果与报告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86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F6B"/>
          <w:sz w:val="18"/>
        </w:rPr>
        <w:t>图 结果与报告</w:t>
      </w:r>
    </w:p>
    <w:p>
      <w:pPr>
        <w:ind w:firstLine="0"/>
      </w:pPr>
      <w:r>
        <w:rPr>
          <w:sz w:val="21"/>
        </w:rPr>
        <w:t>结果区给出关键指标、运行笔记、可排序分页的推荐排行与逐分子结构卡。运行笔记记录本次运行中的降级、跳过与假设，可展开查看全文（对话气泡则不做默认折叠）。报告可导出为 PDF，排序表与全部中间数据可单独下载，也可打包为自包含压缩包。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8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F6B"/>
          <w:sz w:val="18"/>
        </w:rPr>
        <w:t>图 结构卡与指标</w:t>
      </w:r>
    </w:p>
    <w:p>
      <w:pPr>
        <w:ind w:firstLine="0"/>
      </w:pPr>
      <w:r>
        <w:rPr>
          <w:sz w:val="21"/>
        </w:rPr>
        <w:t>界面为三栏：左栏参数设置，中栏对话与结果，右栏运行详情（编排时间轴、阶段日志、工具轨迹与实时逐分子结果）。左右栏可收起，窄屏自动降级排布。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4.6 历史运行检索与复用</w:t>
      </w:r>
    </w:p>
    <w:p>
      <w:pPr>
        <w:ind w:firstLine="0"/>
      </w:pPr>
      <w:r>
        <w:rPr>
          <w:sz w:val="21"/>
        </w:rPr>
        <w:t>运行记录按次落盘并持久保存，因此</w:t>
      </w:r>
      <w:r>
        <w:rPr>
          <w:b/>
          <w:sz w:val="21"/>
        </w:rPr>
        <w:t>关闭页面后仍可查回之前的运行</w:t>
      </w:r>
      <w:r>
        <w:rPr>
          <w:sz w:val="21"/>
        </w:rPr>
        <w:t>。历史区支持按关键词（运行编号、受体、分子名称或编号）、状态、类型、受体与时间范围检索并分页；点选任意一条即可载入该次运行的结果、报告与中间数据。索引在使用时建立，数千条记录下首次检索为亚秒级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4.7 编程接口</w:t>
      </w:r>
    </w:p>
    <w:p>
      <w:pPr>
        <w:ind w:firstLine="0"/>
      </w:pPr>
      <w:r>
        <w:rPr>
          <w:sz w:val="21"/>
        </w:rPr>
        <w:t xml:space="preserve">服务启动后即暴露 HTTP 接口，默认只监听本机地址，不带鉴权，适合本机脚本与内网部署。接口分为两组： </w:t>
      </w:r>
      <w:r>
        <w:rPr>
          <w:b/>
          <w:sz w:val="21"/>
        </w:rPr>
        <w:t>产品接口</w:t>
      </w:r>
      <w:r>
        <w:rPr>
          <w:sz w:val="21"/>
        </w:rPr>
        <w:t>（</w:t>
      </w:r>
      <w:r>
        <w:rPr>
          <w:rFonts w:ascii="DejaVu Sans Mono" w:hAnsi="DejaVu Sans Mono"/>
          <w:sz w:val="19"/>
        </w:rPr>
        <w:t>/api/...</w:t>
      </w:r>
      <w:r>
        <w:rPr>
          <w:sz w:val="21"/>
        </w:rPr>
        <w:t>）承载业务流程与产物访问；</w:t>
      </w:r>
      <w:r>
        <w:rPr>
          <w:b/>
          <w:sz w:val="21"/>
        </w:rPr>
        <w:t>运行接口</w:t>
      </w:r>
      <w:r>
        <w:rPr>
          <w:sz w:val="21"/>
        </w:rPr>
        <w:t>（</w:t>
      </w:r>
      <w:r>
        <w:rPr>
          <w:rFonts w:ascii="DejaVu Sans Mono" w:hAnsi="DejaVu Sans Mono"/>
          <w:sz w:val="19"/>
        </w:rPr>
        <w:t>/threads</w:t>
      </w:r>
      <w:r>
        <w:rPr>
          <w:sz w:val="21"/>
        </w:rPr>
        <w:t>、</w:t>
      </w:r>
      <w:r>
        <w:rPr>
          <w:rFonts w:ascii="DejaVu Sans Mono" w:hAnsi="DejaVu Sans Mono"/>
          <w:sz w:val="19"/>
        </w:rPr>
        <w:t>/runs</w:t>
      </w:r>
      <w:r>
        <w:rPr>
          <w:sz w:val="21"/>
        </w:rPr>
        <w:t>、</w:t>
      </w:r>
      <w:r>
        <w:rPr>
          <w:rFonts w:ascii="DejaVu Sans Mono" w:hAnsi="DejaVu Sans Mono"/>
          <w:sz w:val="19"/>
        </w:rPr>
        <w:t>/assistants</w:t>
      </w:r>
      <w:r>
        <w:rPr>
          <w:sz w:val="21"/>
        </w:rPr>
        <w:t>） 遵循标准智能体协议，用于发起与跟踪一次运行。两组接口共享同一套编排与计算实现。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2"/>
        </w:rPr>
        <w:t>4.6.1 运行接口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方法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路径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/threads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创建会话线程（同一线程即同一段对话）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/threads/{thread_id}/runs/stream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在线程上执行并以事件流返回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/threads/{thread_id}/runs/wait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在线程上执行并等待最终结果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/threads/{thread_id}/runs/{run_id}/cancel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取消运行（协作式，会终止对接进程池）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/threads/{thread_id}/state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/history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线程当前状态与检查点历史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/runs/stream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/runs/wait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无状态执行（不保留多轮上下文）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/assistants/search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/assistants/{id}/schemas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列出可用助手与其输入输出结构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sz w:val="21"/>
        </w:rPr>
        <w:t xml:space="preserve">请求体为标准信封，业务参数放在 </w:t>
      </w:r>
      <w:r>
        <w:rPr>
          <w:rFonts w:ascii="DejaVu Sans Mono" w:hAnsi="DejaVu Sans Mono"/>
          <w:sz w:val="19"/>
        </w:rPr>
        <w:t>input</w:t>
      </w:r>
      <w:r>
        <w:rPr>
          <w:sz w:val="21"/>
        </w:rPr>
        <w:t xml:space="preserve"> 内。</w:t>
      </w:r>
      <w:r>
        <w:rPr>
          <w:rFonts w:ascii="DejaVu Sans Mono" w:hAnsi="DejaVu Sans Mono"/>
          <w:sz w:val="19"/>
        </w:rPr>
        <w:t>assistant_id</w:t>
      </w:r>
      <w:r>
        <w:rPr>
          <w:sz w:val="21"/>
        </w:rPr>
        <w:t xml:space="preserve"> 取 </w:t>
      </w:r>
      <w:r>
        <w:rPr>
          <w:rFonts w:ascii="DejaVu Sans Mono" w:hAnsi="DejaVu Sans Mono"/>
          <w:sz w:val="19"/>
        </w:rPr>
        <w:t>coordinator</w:t>
      </w:r>
      <w:r>
        <w:rPr>
          <w:sz w:val="21"/>
        </w:rPr>
        <w:t xml:space="preserve">（编排主入口）； </w:t>
      </w:r>
      <w:r>
        <w:rPr>
          <w:rFonts w:ascii="DejaVu Sans Mono" w:hAnsi="DejaVu Sans Mono"/>
          <w:sz w:val="19"/>
        </w:rPr>
        <w:t>input.mode</w:t>
      </w:r>
      <w:r>
        <w:rPr>
          <w:sz w:val="21"/>
        </w:rPr>
        <w:t xml:space="preserve"> 为 </w:t>
      </w:r>
      <w:r>
        <w:rPr>
          <w:rFonts w:ascii="DejaVu Sans Mono" w:hAnsi="DejaVu Sans Mono"/>
          <w:sz w:val="19"/>
        </w:rPr>
        <w:t>chat</w:t>
      </w:r>
      <w:r>
        <w:rPr>
          <w:sz w:val="21"/>
        </w:rPr>
        <w:t xml:space="preserve">（自然语言）或 </w:t>
      </w:r>
      <w:r>
        <w:rPr>
          <w:rFonts w:ascii="DejaVu Sans Mono" w:hAnsi="DejaVu Sans Mono"/>
          <w:sz w:val="19"/>
        </w:rPr>
        <w:t>manual</w:t>
      </w:r>
      <w:r>
        <w:rPr>
          <w:sz w:val="21"/>
        </w:rPr>
        <w:t xml:space="preserve">（表单参数为权威）。事件流的帧类型包括 </w:t>
      </w:r>
      <w:r>
        <w:rPr>
          <w:rFonts w:ascii="DejaVu Sans Mono" w:hAnsi="DejaVu Sans Mono"/>
          <w:sz w:val="19"/>
        </w:rPr>
        <w:t>metadata</w:t>
      </w:r>
      <w:r>
        <w:rPr>
          <w:sz w:val="21"/>
        </w:rPr>
        <w:t>（运行标识）、</w:t>
      </w:r>
      <w:r>
        <w:rPr>
          <w:rFonts w:ascii="DejaVu Sans Mono" w:hAnsi="DejaVu Sans Mono"/>
          <w:sz w:val="19"/>
        </w:rPr>
        <w:t>messages/partial</w:t>
      </w:r>
      <w:r>
        <w:rPr>
          <w:sz w:val="21"/>
        </w:rPr>
        <w:t>（文本增量）、</w:t>
      </w:r>
      <w:r>
        <w:rPr>
          <w:rFonts w:ascii="DejaVu Sans Mono" w:hAnsi="DejaVu Sans Mono"/>
          <w:sz w:val="19"/>
        </w:rPr>
        <w:t>messages/complete</w:t>
      </w:r>
      <w:r>
        <w:rPr>
          <w:sz w:val="21"/>
        </w:rPr>
        <w:t xml:space="preserve">（最终文本）、 </w:t>
      </w:r>
      <w:r>
        <w:rPr>
          <w:rFonts w:ascii="DejaVu Sans Mono" w:hAnsi="DejaVu Sans Mono"/>
          <w:sz w:val="19"/>
        </w:rPr>
        <w:t>updates</w:t>
      </w:r>
      <w:r>
        <w:rPr>
          <w:sz w:val="21"/>
        </w:rPr>
        <w:t>（节点更新）、</w:t>
      </w:r>
      <w:r>
        <w:rPr>
          <w:rFonts w:ascii="DejaVu Sans Mono" w:hAnsi="DejaVu Sans Mono"/>
          <w:sz w:val="19"/>
        </w:rPr>
        <w:t>custom</w:t>
      </w:r>
      <w:r>
        <w:rPr>
          <w:sz w:val="21"/>
        </w:rPr>
        <w:t>（领域事件，如阶段进展与逐分子对接结果）、</w:t>
      </w:r>
      <w:r>
        <w:rPr>
          <w:rFonts w:ascii="DejaVu Sans Mono" w:hAnsi="DejaVu Sans Mono"/>
          <w:sz w:val="19"/>
        </w:rPr>
        <w:t>values</w:t>
      </w:r>
      <w:r>
        <w:rPr>
          <w:sz w:val="21"/>
        </w:rPr>
        <w:t xml:space="preserve">（最终值）、 </w:t>
      </w:r>
      <w:r>
        <w:rPr>
          <w:rFonts w:ascii="DejaVu Sans Mono" w:hAnsi="DejaVu Sans Mono"/>
          <w:sz w:val="19"/>
        </w:rPr>
        <w:t>error</w:t>
      </w:r>
      <w:r>
        <w:rPr>
          <w:sz w:val="21"/>
        </w:rPr>
        <w:t xml:space="preserve"> 与 </w:t>
      </w:r>
      <w:r>
        <w:rPr>
          <w:rFonts w:ascii="DejaVu Sans Mono" w:hAnsi="DejaVu Sans Mono"/>
          <w:sz w:val="19"/>
        </w:rPr>
        <w:t>end</w:t>
      </w:r>
      <w:r>
        <w:rPr>
          <w:sz w:val="21"/>
        </w:rPr>
        <w:t>。</w:t>
      </w:r>
    </w:p>
    <w:p>
      <w:pPr>
        <w:spacing w:before="80" w:after="160"/>
        <w:ind w:left="227"/>
        <w:shd w:val="clear" w:fill="F2F4F7"/>
      </w:pPr>
      <w:r>
        <w:rPr>
          <w:rFonts w:ascii="DejaVu Sans Mono" w:hAnsi="DejaVu Sans Mono"/>
          <w:sz w:val="18"/>
        </w:rPr>
        <w:t># 建立会话</w:t>
        <w:br/>
      </w:r>
      <w:r>
        <w:rPr>
          <w:rFonts w:ascii="DejaVu Sans Mono" w:hAnsi="DejaVu Sans Mono"/>
          <w:sz w:val="18"/>
        </w:rPr>
        <w:t>curl -s -X POST localhost:5000/threads -H 'Content-Type: application/json' -d '{}'</w:t>
        <w:br/>
      </w:r>
      <w:r>
        <w:rPr>
          <w:rFonts w:ascii="DejaVu Sans Mono" w:hAnsi="DejaVu Sans Mono"/>
          <w:sz w:val="18"/>
        </w:rPr>
        <w:t># → {"thread_id": "..."}</w:t>
        <w:br/>
      </w:r>
      <w:r>
        <w:rPr>
          <w:rFonts w:ascii="DejaVu Sans Mono" w:hAnsi="DejaVu Sans Mono"/>
          <w:sz w:val="18"/>
        </w:rPr>
        <w:br/>
      </w:r>
      <w:r>
        <w:rPr>
          <w:rFonts w:ascii="DejaVu Sans Mono" w:hAnsi="DejaVu Sans Mono"/>
          <w:sz w:val="18"/>
        </w:rPr>
        <w:t># 发起运行并消费事件流</w:t>
        <w:br/>
      </w:r>
      <w:r>
        <w:rPr>
          <w:rFonts w:ascii="DejaVu Sans Mono" w:hAnsi="DejaVu Sans Mono"/>
          <w:sz w:val="18"/>
        </w:rPr>
        <w:t>curl -N -X POST localhost:5000/threads/&lt;thread_id&gt;/runs/stream \</w:t>
        <w:br/>
      </w:r>
      <w:r>
        <w:rPr>
          <w:rFonts w:ascii="DejaVu Sans Mono" w:hAnsi="DejaVu Sans Mono"/>
          <w:sz w:val="18"/>
        </w:rPr>
        <w:t xml:space="preserve">     -H 'Content-Type: application/json' \</w:t>
        <w:br/>
      </w:r>
      <w:r>
        <w:rPr>
          <w:rFonts w:ascii="DejaVu Sans Mono" w:hAnsi="DejaVu Sans Mono"/>
          <w:sz w:val="18"/>
        </w:rPr>
        <w:t xml:space="preserve">     -d '{"assistant_id":"coordinator","stream_mode":["messages","updates","custom"],</w:t>
        <w:br/>
      </w:r>
      <w:r>
        <w:rPr>
          <w:rFonts w:ascii="DejaVu Sans Mono" w:hAnsi="DejaVu Sans Mono"/>
          <w:sz w:val="18"/>
        </w:rPr>
        <w:t xml:space="preserve">          "input":{"mode":"chat","message":"用上传的分子库对接凝血酶，报告里带上小分子 ID"}}'</w:t>
      </w:r>
    </w:p>
    <w:p>
      <w:r>
        <w:rPr>
          <w:color w:val="555F6B"/>
          <w:sz w:val="17"/>
        </w:rPr>
        <w:t>代码：bash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2"/>
        </w:rPr>
        <w:t>4.6.2 产品接口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分组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端点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运行与产物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 /api/runs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/api/runs/{run_id}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运行列表与检索、单次运行详情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 /api/runs/{run_id}/ranking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排序结果分页查询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 /api/runs/{run_id}/artifacts/{name}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单个产物下载（报告、图表、位姿等）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 /api/runs/{run_id}/report.pdf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/export.csv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/poses.zip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/download.zip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报告、排序表、位姿与整包下载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 /api/runs/{run_id}/cancel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取消运行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输入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 /api/uploads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/api/uploads/inspect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上传分子库或受体文件、检查文件可解析性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 /api/libraries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/api/receptors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可用示例库；受体注册表（</w:t>
            </w:r>
            <w:r>
              <w:rPr>
                <w:rFonts w:ascii="DejaVu Sans Mono" w:hAnsi="DejaVu Sans Mono"/>
                <w:sz w:val="17"/>
              </w:rPr>
              <w:t>/api/receptors</w:t>
            </w:r>
            <w:r>
              <w:rPr>
                <w:sz w:val="19"/>
              </w:rPr>
              <w:t xml:space="preserve"> 为</w:t>
            </w:r>
            <w:r>
              <w:rPr>
                <w:b/>
                <w:sz w:val="19"/>
              </w:rPr>
              <w:t>内部/诊断</w:t>
            </w:r>
            <w:r>
              <w:rPr>
                <w:sz w:val="19"/>
              </w:rPr>
              <w:t xml:space="preserve">端点，响应带 </w:t>
            </w:r>
            <w:r>
              <w:rPr>
                <w:rFonts w:ascii="DejaVu Sans Mono" w:hAnsi="DejaVu Sans Mono"/>
                <w:sz w:val="17"/>
              </w:rPr>
              <w:t>"internal": true</w:t>
            </w:r>
            <w:r>
              <w:rPr>
                <w:sz w:val="19"/>
              </w:rPr>
              <w:t>，网页界面不再调用，也不是用户可选来源）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 /api/molecule/depict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/api/molecule/properties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分子二维结构图与理化性质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配置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</w:t>
            </w:r>
            <w:r>
              <w:rPr>
                <w:sz w:val="19"/>
              </w:rPr>
              <w:t>/</w:t>
            </w:r>
            <w:r>
              <w:rPr>
                <w:rFonts w:ascii="DejaVu Sans Mono" w:hAnsi="DejaVu Sans Mono"/>
                <w:sz w:val="17"/>
              </w:rPr>
              <w:t>PUT /api/settings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POST /api/settings/test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/reset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/reload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读取与保存设置、测试模型连通性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POST /api/tools/probe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探测外部工具（口袋预测、受体质子化 pdb2pqr、配体 pKa 引擎、外部对接引擎）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系统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DejaVu Sans Mono" w:hAnsi="DejaVu Sans Mono"/>
                <w:sz w:val="17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rFonts w:ascii="DejaVu Sans Mono" w:hAnsi="DejaVu Sans Mono"/>
                <w:sz w:val="17"/>
              </w:rPr>
              <w:t>/api/models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服务状态与可用模型清单</w:t>
            </w:r>
          </w:p>
        </w:tc>
      </w:tr>
    </w:tbl>
    <w:p>
      <w:pPr>
        <w:spacing w:after="80"/>
      </w:pPr>
    </w:p>
    <w:p>
      <w:pPr>
        <w:ind w:firstLine="0"/>
      </w:pPr>
      <w:r>
        <w:rPr>
          <w:sz w:val="21"/>
        </w:rPr>
        <w:t xml:space="preserve">运行检索接口在前面 §4.5 已给出示例；产物下载接口返回的 </w:t>
      </w:r>
      <w:r>
        <w:rPr>
          <w:rFonts w:ascii="DejaVu Sans Mono" w:hAnsi="DejaVu Sans Mono"/>
          <w:sz w:val="19"/>
        </w:rPr>
        <w:t>Content-Disposition</w:t>
      </w:r>
      <w:r>
        <w:rPr>
          <w:sz w:val="21"/>
        </w:rPr>
        <w:t xml:space="preserve"> 采用规范文件名， 同一份产物在界面、脚本与压缩包中名称一致。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2"/>
        </w:rPr>
        <w:t>4.6.3 错误与兼容</w:t>
      </w:r>
    </w:p>
    <w:p>
      <w:pPr>
        <w:ind w:firstLine="0"/>
      </w:pPr>
      <w:r>
        <w:rPr>
          <w:sz w:val="21"/>
        </w:rPr>
        <w:t xml:space="preserve">接口错误使用标准 </w:t>
      </w:r>
      <w:r>
        <w:rPr>
          <w:rFonts w:ascii="DejaVu Sans Mono" w:hAnsi="DejaVu Sans Mono"/>
          <w:sz w:val="19"/>
        </w:rPr>
        <w:t>detail</w:t>
      </w:r>
      <w:r>
        <w:rPr>
          <w:sz w:val="21"/>
        </w:rPr>
        <w:t xml:space="preserve"> 字段返回说明；少数早期端点同时附带 </w:t>
      </w:r>
      <w:r>
        <w:rPr>
          <w:rFonts w:ascii="DejaVu Sans Mono" w:hAnsi="DejaVu Sans Mono"/>
          <w:sz w:val="19"/>
        </w:rPr>
        <w:t>error_message</w:t>
      </w:r>
      <w:r>
        <w:rPr>
          <w:sz w:val="21"/>
        </w:rPr>
        <w:t xml:space="preserve"> 字段以便老脚本读取。 已被取代的端点保留但标注为废弃，新客户端应使用标准运行接口。接口与网页界面调用同一实现， 因此界面能看到的降级、跳过与失败原因，接口调用方同样能在运行记录中读到。</w:t>
      </w:r>
    </w:p>
    <w:p>
      <w:pPr>
        <w:ind w:firstLine="0"/>
      </w:pPr>
      <w:r>
        <w:rPr>
          <w:sz w:val="21"/>
        </w:rPr>
        <w:t>命令行入口提供受体清单、运行记录查询与服务启动等子命令；计算内核亦可作为库直接调用， 用于批量脚本与参数扫描。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4.8 平台化运行</w:t>
      </w:r>
    </w:p>
    <w:p>
      <w:pPr>
        <w:ind w:firstLine="0"/>
      </w:pPr>
      <w:r>
        <w:rPr>
          <w:rFonts w:ascii="DejaVu Sans Mono" w:hAnsi="DejaVu Sans Mono"/>
          <w:sz w:val="19"/>
        </w:rPr>
        <w:t>langgraph-deploy/</w:t>
      </w:r>
      <w:r>
        <w:rPr>
          <w:sz w:val="21"/>
        </w:rPr>
        <w:t xml:space="preserve"> 目录把编排层暴露为六张图（协调智能体、受理层、四个子智能体），可在可视化调试环境中直接对话、查看状态与中断，也可通过平台 SDK 调用。平台化运行与本地服务共用同一份代码，区别只在持久化由平台托管。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5 运行记录与可复现性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5.1 目录结构</w:t>
      </w:r>
    </w:p>
    <w:p>
      <w:pPr>
        <w:spacing w:before="80" w:after="160"/>
        <w:ind w:left="227"/>
        <w:shd w:val="clear" w:fill="F2F4F7"/>
      </w:pPr>
      <w:r>
        <w:rPr>
          <w:rFonts w:ascii="DejaVu Sans Mono" w:hAnsi="DejaVu Sans Mono"/>
          <w:sz w:val="18"/>
        </w:rPr>
        <w:t>var/runs/&lt;run_id&gt;/</w:t>
        <w:br/>
      </w:r>
      <w:r>
        <w:rPr>
          <w:rFonts w:ascii="DejaVu Sans Mono" w:hAnsi="DejaVu Sans Mono"/>
          <w:sz w:val="18"/>
        </w:rPr>
        <w:t>├── run.json            运行元数据与产物清单</w:t>
        <w:br/>
      </w:r>
      <w:r>
        <w:rPr>
          <w:rFonts w:ascii="DejaVu Sans Mono" w:hAnsi="DejaVu Sans Mono"/>
          <w:sz w:val="18"/>
        </w:rPr>
        <w:t>├── request.json        请求原文</w:t>
        <w:br/>
      </w:r>
      <w:r>
        <w:rPr>
          <w:rFonts w:ascii="DejaVu Sans Mono" w:hAnsi="DejaVu Sans Mono"/>
          <w:sz w:val="18"/>
        </w:rPr>
        <w:t>├── result.json         完整结果</w:t>
        <w:br/>
      </w:r>
      <w:r>
        <w:rPr>
          <w:rFonts w:ascii="DejaVu Sans Mono" w:hAnsi="DejaVu Sans Mono"/>
          <w:sz w:val="18"/>
        </w:rPr>
        <w:t>├── ranking.csv/.json   排序结果</w:t>
        <w:br/>
      </w:r>
      <w:r>
        <w:rPr>
          <w:rFonts w:ascii="DejaVu Sans Mono" w:hAnsi="DejaVu Sans Mono"/>
          <w:sz w:val="18"/>
        </w:rPr>
        <w:t>├── molecules.json      分子库与来源信息</w:t>
        <w:br/>
      </w:r>
      <w:r>
        <w:rPr>
          <w:rFonts w:ascii="DejaVu Sans Mono" w:hAnsi="DejaVu Sans Mono"/>
          <w:sz w:val="18"/>
        </w:rPr>
        <w:t>├── properties.json     理化性质</w:t>
        <w:br/>
      </w:r>
      <w:r>
        <w:rPr>
          <w:rFonts w:ascii="DejaVu Sans Mono" w:hAnsi="DejaVu Sans Mono"/>
          <w:sz w:val="18"/>
        </w:rPr>
        <w:t>├── docking.json        对接明细（能量项、盒子来源、参数留痕）</w:t>
        <w:br/>
      </w:r>
      <w:r>
        <w:rPr>
          <w:rFonts w:ascii="DejaVu Sans Mono" w:hAnsi="DejaVu Sans Mono"/>
          <w:sz w:val="18"/>
        </w:rPr>
        <w:t>├── pockets.json        口袋预测与对接盒溯源</w:t>
        <w:br/>
      </w:r>
      <w:r>
        <w:rPr>
          <w:rFonts w:ascii="DejaVu Sans Mono" w:hAnsi="DejaVu Sans Mono"/>
          <w:sz w:val="18"/>
        </w:rPr>
        <w:t>├── blackboard.json     共享状态快照</w:t>
        <w:br/>
      </w:r>
      <w:r>
        <w:rPr>
          <w:rFonts w:ascii="DejaVu Sans Mono" w:hAnsi="DejaVu Sans Mono"/>
          <w:sz w:val="18"/>
        </w:rPr>
        <w:t>├── report.md / .pdf    规范报告</w:t>
        <w:br/>
      </w:r>
      <w:r>
        <w:rPr>
          <w:rFonts w:ascii="DejaVu Sans Mono" w:hAnsi="DejaVu Sans Mono"/>
          <w:sz w:val="18"/>
        </w:rPr>
        <w:t>├── charts/             结构卡、姿态图与对比图</w:t>
        <w:br/>
      </w:r>
      <w:r>
        <w:rPr>
          <w:rFonts w:ascii="DejaVu Sans Mono" w:hAnsi="DejaVu Sans Mono"/>
          <w:sz w:val="18"/>
        </w:rPr>
        <w:t>├── poses/              配体位姿</w:t>
        <w:br/>
      </w:r>
      <w:r>
        <w:rPr>
          <w:rFonts w:ascii="DejaVu Sans Mono" w:hAnsi="DejaVu Sans Mono"/>
          <w:sz w:val="18"/>
        </w:rPr>
        <w:t>└── receptor/           对接实际使用的受体结构</w:t>
      </w:r>
    </w:p>
    <w:p>
      <w:pPr>
        <w:ind w:firstLine="0"/>
      </w:pPr>
      <w:r>
        <w:rPr>
          <w:sz w:val="21"/>
        </w:rPr>
        <w:t>目录自包含：复制到另一台机器即可离线查看结果，压缩包中包含报告、排序表、图表、位姿与受体结构。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5.2 复现一次运行</w:t>
      </w:r>
    </w:p>
    <w:p>
      <w:pPr>
        <w:ind w:firstLine="0"/>
      </w:pPr>
      <w:r>
        <w:rPr>
          <w:sz w:val="21"/>
        </w:rPr>
        <w:t>同一次运行使用相同的随机种子，单分子得分不依赖于批次组成与并行方式，因此可用相同输入与参数复算并逐条比对。报告与排序表记录了实际使用的引擎、搜索强度与位点盒来源，便于确认复现条件是否一致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5.3 环境依赖与降级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组件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必要性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9"/>
              </w:rPr>
              <w:t>缺失时的行为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Python 3.12 与核心依赖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必需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自检失败并给出安装命令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工作目录可写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必需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自检失败，需修正权限或指定工作区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模型端点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必需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无法编排对接流程；环境自检与计算内核仍可用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Java 运行时与 P2Rank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口袋分析使用内置几何方法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pdb2pqr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受体不按目标 pH 重新分配质子化态，报告注明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Dimorphite-DL（配体 pKa 引擎）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配体 pH 处理回退内置 pKa 规则表（近似），报告与运行记录注明回退原因与安装方法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AutoDock4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仅保留主引擎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中文字体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图表与 PDF 中的中文可能显示异常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GPU 对接引擎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可选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sz w:val="19"/>
              </w:rPr>
              <w:t>由用户提供可执行文件并在设置中登记；登记后不可用时任务直接失败并提示，不回退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6 方法与局限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6.1 打分与搜索的近似性</w:t>
      </w:r>
    </w:p>
    <w:p>
      <w:pPr>
        <w:ind w:firstLine="0"/>
      </w:pPr>
      <w:r>
        <w:rPr>
          <w:sz w:val="21"/>
        </w:rPr>
        <w:t>对接得分来自经验打分函数与启发式搜索，不是结合自由能的实验测量值。排序用于在同一受体、同一参数条件下比较候选分子，不宜跨受体或跨参数直接比较。系统在报告中固定记录参数与盒子来源，正是为了让这种比较的适用条件可查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6.2 质子化与特殊化学</w:t>
      </w:r>
    </w:p>
    <w:p>
      <w:pPr>
        <w:ind w:firstLine="0"/>
      </w:pPr>
      <w:r>
        <w:rPr>
          <w:sz w:val="21"/>
        </w:rPr>
        <w:t>理化性质与对接必须使用同一种化学形式。受体与配体都按</w:t>
      </w:r>
      <w:r>
        <w:rPr>
          <w:b/>
          <w:sz w:val="21"/>
        </w:rPr>
        <w:t>同一目标 pH</w:t>
      </w:r>
      <w:r>
        <w:rPr>
          <w:sz w:val="21"/>
        </w:rPr>
        <w:t xml:space="preserve"> 处理，且两侧各用专业工具：受体侧用 pdb2pqr 结合 PROPKA 的逐残基 pKa 判定重新分配质子化态；配体侧默认使用 Dimorphite-DL（RDKit 的 pKa 规则库）枚举可电离官能团的微观态。系统提供运行级质子化态策略：按目标 pH 分配、仅中和带净电荷的分子、或保持输入形式。同一分子在目标 pH 附近可能存在多个微观态时，系统按固定规则选定其中一个形式对接，并把全部候选与选择规则写入运行产物，报告中同时声明未做微观态布居与能量比较。金属辅因子、盐的反离子、多组分配体等特殊情形按保守规则处理，实际参与对接的化学形式逐分子记录，并在报告中说明；缺失专业配体引擎时自动回退内置 pKa 规则表（近似口径）并如实注明。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6.3 引擎可比性</w:t>
      </w:r>
    </w:p>
    <w:p>
      <w:pPr>
        <w:ind w:firstLine="0"/>
      </w:pPr>
      <w:r>
        <w:rPr>
          <w:sz w:val="21"/>
        </w:rPr>
        <w:t>不同引擎与不同执行后端（CPU 与 GPU）在搜索策略与数值精度上存在差异，同一次排序中不混用引擎。配体统一按刚性大环准备（不切环、不采样环构象），以保证与经典 AutoDock 格点打分兼容。点选候选时系统</w:t>
      </w:r>
      <w:r>
        <w:rPr>
          <w:b/>
          <w:sz w:val="21"/>
        </w:rPr>
        <w:t>续跑同一个运行</w:t>
      </w:r>
      <w:r>
        <w:rPr>
          <w:sz w:val="21"/>
        </w:rPr>
        <w:t xml:space="preserve">（不另起运行），正文里的大块工具数据会折叠成可展开块。默认引擎为 </w:t>
      </w:r>
      <w:r>
        <w:rPr>
          <w:rFonts w:ascii="DejaVu Sans Mono" w:hAnsi="DejaVu Sans Mono"/>
          <w:sz w:val="19"/>
        </w:rPr>
        <w:t>auto</w:t>
      </w:r>
      <w:r>
        <w:rPr>
          <w:sz w:val="21"/>
        </w:rPr>
        <w:t xml:space="preserve">：优先内置 Vina，不可用时回退经典 AutoDock4（CPU）。用户也可在设置中登记本机安装的 GPU 对接工具并把「对接引擎」设为 </w:t>
      </w:r>
      <w:r>
        <w:rPr>
          <w:rFonts w:ascii="DejaVu Sans Mono" w:hAnsi="DejaVu Sans Mono"/>
          <w:sz w:val="19"/>
        </w:rPr>
        <w:t>external</w:t>
      </w:r>
      <w:r>
        <w:rPr>
          <w:sz w:val="21"/>
        </w:rPr>
        <w:t>，此时对接由该外部引擎执行（当前已接入执行适配的是 AutoDock-GPU 与 CPU 版 Vina 命令行），结果行与报告中记录实际引擎及其版本。若配置了外部引擎但不可用，系统拒绝启动并给出提示，而不是改用其他实现后照常出结果；登记了外部引擎而本次未选用时，运行笔记会明确说明本次仍由内置引擎计算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6.4 已知限制</w:t>
      </w:r>
    </w:p>
    <w:p>
      <w:pPr>
        <w:ind w:firstLine="0"/>
      </w:pPr>
      <w:r>
        <w:rPr>
          <w:sz w:val="21"/>
        </w:rPr>
        <w:t>大规模库的耗时主要取决于候选数量、搜索强度与位点盒体积；两阶段策略缓解但不能消除这一代价。受体准备依据标准流程保留蛋白质原子，体系若依赖被剔除的辅因子，需要用户显式指定保留或自行提供已制备的受体文件。系统不提供多用户隔离与权限管理。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7 工程保障</w:t>
      </w:r>
    </w:p>
    <w:p>
      <w:pPr>
        <w:ind w:firstLine="0"/>
      </w:pPr>
      <w:r>
        <w:rPr>
          <w:sz w:val="21"/>
        </w:rPr>
        <w:t>系统维护一组自动化检查，覆盖计算内核、智能体契约、报告版式、接口协议、步数预算与工具调用序列自愈、界面行为与部署配置。计算与接口相关的检查在离线环境即可完成；界面检查包含静态契约校验（界面结构、设计令牌、候选交互时序）、DOM 级端到端验证与真实浏览器验证，后者用于确认标准协议下的请求形状、Markdown 渲染、思考折叠、候选点选时机与运行态、报告版式。当前本机全量为 857 项通过（离线快跑 604 通过、253 跳过）。持续集成流水线（</w:t>
      </w:r>
      <w:r>
        <w:rPr>
          <w:rFonts w:ascii="DejaVu Sans Mono" w:hAnsi="DejaVu Sans Mono"/>
          <w:sz w:val="19"/>
        </w:rPr>
        <w:t>.github/workflows/gate.yml</w:t>
      </w:r>
      <w:r>
        <w:rPr>
          <w:sz w:val="21"/>
        </w:rPr>
        <w:t xml:space="preserve">）在每次提交时运行静态门禁与离线用例；需要本机真实引擎（对接、口袋预测、质子化）的用例由 </w:t>
      </w:r>
      <w:r>
        <w:rPr>
          <w:rFonts w:ascii="DejaVu Sans Mono" w:hAnsi="DejaVu Sans Mono"/>
          <w:sz w:val="19"/>
        </w:rPr>
        <w:t>DOCKING_ENGINE_TESTS</w:t>
      </w:r>
      <w:r>
        <w:rPr>
          <w:sz w:val="21"/>
        </w:rPr>
        <w:t xml:space="preserve"> 开关分层，在具备引擎的机器上全量执行。文档与由它生成的 PDF/Word 之间用内容哈希核对，源变更后未重出产物会被门禁拦下。</w:t>
      </w:r>
    </w:p>
    <w:p>
      <w:pPr>
        <w:ind w:firstLine="0"/>
      </w:pPr>
      <w:r>
        <w:rPr>
          <w:sz w:val="21"/>
        </w:rPr>
        <w:t>外部工具不在仓库内分发：体积较大的工具由脚本按需获取，需要用户自备的工具在设置中登记路径。登记后的工具会被探测（可执行性、版本、设备可见性），探测结论在设置界面、自检脚本与运行记录中保持一致。</w:t>
      </w:r>
    </w:p>
    <w:p>
      <w:pPr>
        <w:ind w:firstLine="0"/>
      </w:pPr>
      <w:r>
        <w:rPr>
          <w:sz w:val="21"/>
        </w:rPr>
        <w:t>服务定位为本机工具，默认只监听回环地址且不带鉴权。在此前提下另设若干与监听地址无关的守卫：写操作的同源校验、内容安全策略与安全响应头、运行/线程/会话标识符的白名单校验，以及"校验已上传文件"端点对上传目录的限定。这些措施降低误暴露的代价，但不替代鉴权。</w:t>
      </w:r>
    </w:p>
    <w:p>
      <w:pPr>
        <w:pStyle w:val="Heading2"/>
        <w:spacing w:before="280" w:after="120"/>
      </w:pPr>
      <w:r>
        <w:rPr>
          <w:rFonts w:ascii="Noto Sans CJK SC" w:hAnsi="Noto Sans CJK SC" w:eastAsia="Noto Sans CJK SC"/>
          <w:color w:val="1F2733"/>
          <w:sz w:val="30"/>
        </w:rPr>
        <w:t>8 引用与许可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8.1 接口契约</w:t>
      </w:r>
    </w:p>
    <w:p>
      <w:pPr>
        <w:ind w:firstLine="0"/>
      </w:pPr>
      <w:r>
        <w:rPr>
          <w:sz w:val="21"/>
        </w:rPr>
        <w:t xml:space="preserve">本文只给出接口分组与调用方式；完整的端点清单、请求/响应字段与事件流帧格式见 </w:t>
      </w:r>
      <w:r>
        <w:rPr>
          <w:sz w:val="21"/>
        </w:rPr>
        <w:t>`projects/docs/api.md`</w:t>
      </w:r>
      <w:r>
        <w:rPr>
          <w:sz w:val="21"/>
        </w:rPr>
        <w:t>，该文件与实现同步维护。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8.2 引用</w:t>
      </w:r>
    </w:p>
    <w:p>
      <w:pPr>
        <w:ind w:firstLine="0"/>
      </w:pPr>
      <w:r>
        <w:rPr>
          <w:sz w:val="21"/>
        </w:rPr>
        <w:t>使用本系统开展研究时，请引用本仓库，并按报告第 1 节列出的工具与版本，同时引用相应工具的文献（对接引擎、化学信息学工具包、口袋预测方法等）。</w:t>
      </w:r>
    </w:p>
    <w:p>
      <w:pPr>
        <w:pStyle w:val="Heading3"/>
        <w:spacing w:before="200" w:after="120"/>
      </w:pPr>
      <w:r>
        <w:rPr>
          <w:rFonts w:ascii="Noto Sans CJK SC" w:hAnsi="Noto Sans CJK SC" w:eastAsia="Noto Sans CJK SC"/>
          <w:color w:val="1F2733"/>
          <w:sz w:val="25"/>
        </w:rPr>
        <w:t>8.3 许可</w:t>
      </w:r>
    </w:p>
    <w:p>
      <w:pPr>
        <w:ind w:firstLine="0"/>
      </w:pPr>
      <w:r>
        <w:rPr>
          <w:sz w:val="21"/>
        </w:rPr>
        <w:t xml:space="preserve">本项目以 </w:t>
      </w:r>
      <w:r>
        <w:rPr>
          <w:b/>
          <w:sz w:val="21"/>
        </w:rPr>
        <w:t>AGPL-3.0-or-later</w:t>
      </w:r>
      <w:r>
        <w:rPr>
          <w:sz w:val="21"/>
        </w:rPr>
        <w:t xml:space="preserve"> 发布，全文见仓库根目录 </w:t>
      </w:r>
      <w:r>
        <w:rPr>
          <w:rFonts w:ascii="DejaVu Sans Mono" w:hAnsi="DejaVu Sans Mono"/>
          <w:sz w:val="19"/>
        </w:rPr>
        <w:t>LICENSE</w:t>
      </w:r>
      <w:r>
        <w:rPr>
          <w:sz w:val="21"/>
        </w:rPr>
        <w:t>。选择强著佐权协议的考虑是：系统允许被改造后作为网络服务对外提供，AGPL 的网络条款要求此类服务同样开放修改后的源码。学术使用不受限制；如需在闭源产品中集成，请与作者联系获取商业许可。</w:t>
      </w:r>
    </w:p>
    <w:p>
      <w:pPr>
        <w:ind w:firstLine="0"/>
      </w:pPr>
      <w:r>
        <w:rPr>
          <w:sz w:val="21"/>
        </w:rPr>
        <w:t>仓库不随附第三方工具与模型权重，各依赖组件遵循其原始许可。系统安装的依赖多为宽松许可（Apache-2.0、BSD-3-Clause、MIT），部分为弱著佐权许可（LGPL-2.1、MPL-2.0），与本项目的许可选择不冲突。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8"/>
      </w:rPr>
      <w:t xml:space="preserve">分子对接多 Agent 协作系统    第 </w:t>
    </w:r>
    <w:fldSimple w:instr="PAGE"/>
    <w:r>
      <w:rPr>
        <w:color w:val="555F6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