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接口三种使用方式：网页界面分</w:t>
      </w:r>
      <w:r>
        <w:rPr>
          <w:b/>
          <w:sz w:val="21"/>
        </w:rPr>
        <w:t>简易模式</w:t>
      </w:r>
      <w:r>
        <w:rPr>
          <w:sz w:val="21"/>
        </w:rPr>
        <w:t>（默认首页，只保留 「任务描述 + 筛选结果」两块，参数全部走默认与自动规划）与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（三栏工作台：参数表单、 对话与结果、运行详情，另有历史检索、报告全文与设置页），顶栏一键互切；接口分为承载业务的产品接口与 遵循标准智能体协议的运行接口两组，共四十余个端点，覆盖运行发起、状态查询、产物下载与历史检索。 交互上遵循「打扰最小化」：</w:t>
      </w:r>
      <w:r>
        <w:rPr>
          <w:b/>
          <w:sz w:val="21"/>
        </w:rPr>
        <w:t>只有影响对接本身的问题</w:t>
      </w:r>
      <w:r>
        <w:rPr>
          <w:sz w:val="21"/>
        </w:rPr>
        <w:t>（受体不可用或歧义、多组分分子的代表结构、 共晶配体是否作对照）才中断并请用户决定，其余执行细节由系统自动处理。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打扰最小化。</w:t>
      </w:r>
      <w:r>
        <w:rPr>
          <w:sz w:val="21"/>
        </w:rPr>
        <w:t xml:space="preserve"> 只有</w:t>
      </w:r>
      <w:r>
        <w:rPr>
          <w:b/>
          <w:sz w:val="21"/>
        </w:rPr>
        <w:t>影响对接本身</w:t>
      </w:r>
      <w:r>
        <w:rPr>
          <w:sz w:val="21"/>
        </w:rPr>
        <w:t>的问题才请用户决定 —— 受体不可用或存在多个同样合理的候选、 多组分分子的代表结构取法、共晶配体是否作为阳性对照；这三类问题直接改变计算对象或方法学基线， 系统零计算并下发可点选项。执行细节一律自动处理：工具与模型的瞬时失败自动重试；跑满步数上限时自动 放宽（120 → 240 → 480）并从检查点继续，到顶则让主管智能体用已有结果收尾并照常产出报告，</w:t>
      </w:r>
      <w:r>
        <w:rPr>
          <w:b/>
          <w:sz w:val="21"/>
        </w:rPr>
        <w:t>不把这类 执行错误抛给用户</w:t>
      </w:r>
      <w:r>
        <w:rPr>
          <w:sz w:val="21"/>
        </w:rPr>
        <w:t>；同一个问题只生成一次、只显示一份（候选在模型输出结束后才挂出，避免与进行中的 运行抢跑）；页面刷新后结果区保持空态、历史运行随时可载回。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依赖方向单向向下：接入层调用受理层，受理层产出任务规约交给编排层，编排层经运行支撑层调用计算层， 记录层贯穿全过程。计算层不感知语言模型的存在，因此可以脱离智能体单独运行，这既是离线能力的基础， 也是测试与复现的基础。受理层与运行支撑层是随产品演进补上的两处边界：前者把「自然语言 → 可执行规约」 的判定与工具执行解耦，后者把共享状态、产物交接、运行事实、步数预算与事件流从 Agent 代码中抽出。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 xml:space="preserve">（含 </w:t>
            </w:r>
            <w:r>
              <w:rPr>
                <w:rFonts w:ascii="DejaVu Sans Mono" w:hAnsi="DejaVu Sans Mono"/>
                <w:sz w:val="17"/>
              </w:rPr>
              <w:t>routers/</w:t>
            </w:r>
            <w:r>
              <w:rPr>
                <w:sz w:val="19"/>
              </w:rPr>
              <w:t>、标准协议面）、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两套网页界面、产品接口与标准智能体协议、命令行入口、安全守卫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受理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intake.py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自然语言与表单 → 任务规约与执行决策；会话继承；受体与配体的在线解析编排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协调智能体、四个子智能体、工具分发、中间件治理、条件纪律段、工具调用序列自愈、结果合并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运行支撑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runtime/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事件流、共享黑板、产物落盘、运行事实、步数预算、模型构建、运行上下文与检查点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受体与配体准备、口袋与定盒、对接引擎、性质与指纹、质子化、排序；工具层是内核的智能体接口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事件流：文本增量、阶段进展、领域事件（逐分子对接结果）、</w:t>
      </w:r>
      <w:r>
        <w:rPr>
          <w:b/>
          <w:sz w:val="21"/>
        </w:rPr>
        <w:t>思考增量</w:t>
      </w:r>
      <w:r>
        <w:rPr>
          <w:sz w:val="21"/>
        </w:rPr>
        <w:t>（单独成轨并折叠，不混进正文）与</w:t>
      </w:r>
      <w:r>
        <w:rPr>
          <w:b/>
          <w:sz w:val="21"/>
        </w:rPr>
        <w:t>步数预算事件</w:t>
      </w:r>
      <w:r>
        <w:rPr>
          <w:sz w:val="21"/>
        </w:rPr>
        <w:t>（自动放宽或收尾时如实告知）。需要用户决定的候选选项在本轮输出结束后才挂出，避免与进行中的运行抢跑；长任务因此既不会表现为无响应，也不会在执行细节上打扰用户。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811 项通过（离线快跑 563 通过、248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