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接口三种使用方式：接口分为承载业务的产品接口与遵循标准智能体协议的 运行接口两组，共四十余个端点，覆盖运行发起、状态查询、产物下载与历史检索。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受体准备：从预置受体注册表、用户上传的结构文件，或在线结构库（按 PDB 编号、UniProt 登录号、基因名检索）获取受体，现场制备为对接输入；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依赖方向单向向下：接入层调用编排层，编排层调用计算层，记录层贯穿全过程。计算层不感知语言模型的存在，因此可以脱离智能体单独运行，这既是离线能力的基础，也是测试与复现的基础。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HTTP 接口与网页界面、标准智能体协议、命令行入口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协调智能体与四个子智能体、工具集、共享状态、报告定制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受体与配体准备、口袋与定盒、对接引擎、性质与指纹、排序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6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6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三类事件：文本增量、阶段进展与领域事件（例如逐分子对接结果），因此长任务不会表现为无响应的等待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引用已上传文件。未指定受体时使用默认受体并在报告中写明；点名受体时系统先做在线解析，存在多个合理候选时给出可选项而不代为决定。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结果区给出关键指标、运行笔记、可排序分页的推荐排行与逐分子结构卡。运行笔记记录本次运行中的降级、跳过与假设，默认折叠显示，可展开查看全文。报告可导出为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可用示例库与受体注册表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探测外部工具（口袋预测、质子化、外部对接引擎）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理化性质与对接必须使用同一种化学形式。系统提供运行级质子化态策略：按目标 pH 依内置规则分配、仅中和带净电荷的分子、或保持输入形式。金属辅因子、盐的反离子、多组分配体等特殊情形按保守规则处理，实际参与对接的化学形式逐分子记录，并在报告中说明。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系统维护一组自动化检查，覆盖计算内核、智能体契约、报告版式、接口协议、界面行为与部署配置。计算与接口相关的检查在离线环境即可完成；界面检查包含静态校验、DOM 级端到端验证与真实浏览器验证，后者用于确认标准协议下的请求形状、报告版式与三栏布局。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