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ind w:firstLine="0"/>
      </w:pPr>
      <w:r>
        <w:rPr>
          <w:sz w:val="21"/>
        </w:rPr>
        <w:t xml:space="preserve">&gt; </w:t>
      </w:r>
      <w:r>
        <w:rPr>
          <w:b/>
          <w:sz w:val="21"/>
        </w:rPr>
        <w:t>文档分工</w:t>
      </w:r>
      <w:r>
        <w:rPr>
          <w:sz w:val="21"/>
        </w:rPr>
        <w:t>（2026-09 文档收敛）：本文是</w:t>
      </w:r>
      <w:r>
        <w:rPr>
          <w:b/>
          <w:sz w:val="21"/>
        </w:rPr>
        <w:t>读者向概览</w:t>
      </w:r>
      <w:r>
        <w:rPr>
          <w:sz w:val="21"/>
        </w:rPr>
        <w:t xml:space="preserve">——用一篇文章讲清「是什么 / 怎么运行 / &gt; 怎么使用」；工程细节（安装、全部配置项、接口速查、门禁验收）见 &gt; </w:t>
      </w:r>
      <w:r>
        <w:rPr>
          <w:sz w:val="21"/>
        </w:rPr>
        <w:t>`projects/README.md`</w:t>
      </w:r>
      <w:r>
        <w:rPr>
          <w:sz w:val="21"/>
        </w:rPr>
        <w:t xml:space="preserve">，开发规范与不变量见 &gt; </w:t>
      </w:r>
      <w:r>
        <w:rPr>
          <w:sz w:val="21"/>
        </w:rPr>
        <w:t>`projects/docs/architecture.md`</w:t>
      </w:r>
      <w:r>
        <w:rPr>
          <w:sz w:val="21"/>
        </w:rPr>
        <w:t xml:space="preserve">，HTTP 契约见 &gt; </w:t>
      </w:r>
      <w:r>
        <w:rPr>
          <w:sz w:val="21"/>
        </w:rPr>
        <w:t>`projects/docs/api.md`</w:t>
      </w:r>
      <w:r>
        <w:rPr>
          <w:sz w:val="21"/>
        </w:rPr>
        <w:t xml:space="preserve">，含实测数据的完整技术报告见 &gt; </w:t>
      </w:r>
      <w:r>
        <w:rPr>
          <w:sz w:val="21"/>
        </w:rPr>
        <w:t>`projects/docs/技术报告.md`</w:t>
      </w:r>
      <w:r>
        <w:rPr>
          <w:sz w:val="21"/>
        </w:rPr>
        <w:t>。本文不重复这些细节，只给可读的全局叙述。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接口三种使用方式。网页界面分两套：</w:t>
      </w:r>
      <w:r>
        <w:rPr>
          <w:b/>
          <w:sz w:val="21"/>
        </w:rPr>
        <w:t>简易模式</w:t>
      </w:r>
      <w:r>
        <w:rPr>
          <w:sz w:val="21"/>
        </w:rPr>
        <w:t>（默认首页， 仅「任务描述 + 筛选结果」两块，参数由默认值与受理层自动规划）与</w:t>
      </w:r>
      <w:r>
        <w:rPr>
          <w:b/>
          <w:sz w:val="21"/>
        </w:rPr>
        <w:t>高级模式</w:t>
      </w:r>
      <w:r>
        <w:rPr>
          <w:sz w:val="21"/>
        </w:rPr>
        <w:t>（三栏工作台： 参数表单、对话与结果、运行详情，另有历史检索、报告全文与设置页），顶栏可切换。接口分为承载业务的 产品接口与遵循标准智能体协议的运行接口两组，共四十余个端点，覆盖运行发起、状态查询、产物下载与 历史检索。交互口径见 1.3：需要用户裁决的只有影响对接本身的问题，其余执行细节由系统处理。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受体准备：从用户上传的结构文件或在线结构库（按 PDB 编号、UniProt 登录号、基因名检索）获取受体，现场制备为对接输入；受体必须由用户指定，系统</w:t>
      </w:r>
      <w:r>
        <w:rPr>
          <w:b/>
          <w:sz w:val="21"/>
        </w:rPr>
        <w:t>没有默认受体</w:t>
      </w:r>
      <w:r>
        <w:rPr>
          <w:sz w:val="21"/>
        </w:rPr>
        <w:t>（注册表预置受体仅供内部测试）；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ind w:firstLine="0"/>
      </w:pPr>
      <w:r>
        <w:rPr>
          <w:b/>
          <w:sz w:val="21"/>
        </w:rPr>
        <w:t>执行细节自主处理，用户只裁决影响对接的问题。</w:t>
      </w:r>
      <w:r>
        <w:rPr>
          <w:sz w:val="21"/>
        </w:rPr>
        <w:t xml:space="preserve"> 需要用户决定的只有三类：受体不可用或存在多个同等 合理的候选、多组分分子的代表结构取法、共晶配体是否作为阳性对照 —— 三者都直接改变计算对象或方法学 基线，系统因此不执行计算，只下发候选项，并把选择作为请求字段在同一会话内续跑。其余情形按执行细节 处理：工具与模型的瞬时失败自动重试；达到递归上限时自动放宽（120 → 240 → 480）并从检查点续跑， 到顶由协调智能体用现有结果收尾并照常产出报告（执行类失败不向用户上报为错误）；同一问题只下发一次， 候选在本轮输出结束后才挂出；页面刷新后结果区置空，往次结果由历史运行载回。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依赖方向单向向下：接入层调用受理层，受理层产出任务规约交给编排层，编排层经运行支撑层调用计算层， 记录层贯穿全过程。计算层不感知语言模型的存在，因此可以脱离智能体单独运行，这既是离线能力的基础， 也是测试与复现的基础。受理层与运行支撑层是随产品演进补上的两处边界：前者把「自然语言 → 可执行规约」 的判定与工具执行解耦，后者把共享状态、产物交接、运行事实、步数预算与事件流从 Agent 代码中抽出。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 xml:space="preserve">（含 </w:t>
            </w:r>
            <w:r>
              <w:rPr>
                <w:rFonts w:ascii="DejaVu Sans Mono" w:hAnsi="DejaVu Sans Mono"/>
                <w:sz w:val="17"/>
              </w:rPr>
              <w:t>routers/</w:t>
            </w:r>
            <w:r>
              <w:rPr>
                <w:sz w:val="19"/>
              </w:rPr>
              <w:t>、标准协议面）、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两套网页界面、产品接口与标准智能体协议、命令行入口、安全守卫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受理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intake.py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自然语言与表单 → 任务规约与执行决策；会话继承；受体与配体的在线解析编排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协调智能体、四个子智能体、工具分发、中间件治理、条件纪律段、工具调用序列自愈、结果合并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运行支撑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runtime/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事件流、共享黑板、产物落盘、运行事实、步数预算、模型构建、运行上下文与检查点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受体与配体准备、口袋与定盒、对接引擎、性质与指纹、质子化、排序；工具层是内核的智能体接口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0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事件流：文本增量、阶段进展、领域事件（逐分子对接结果）、</w:t>
      </w:r>
      <w:r>
        <w:rPr>
          <w:b/>
          <w:sz w:val="21"/>
        </w:rPr>
        <w:t>思考增量</w:t>
      </w:r>
      <w:r>
        <w:rPr>
          <w:sz w:val="21"/>
        </w:rPr>
        <w:t>（单独成轨并折叠，不混进正文）与</w:t>
      </w:r>
      <w:r>
        <w:rPr>
          <w:b/>
          <w:sz w:val="21"/>
        </w:rPr>
        <w:t>步数预算事件</w:t>
      </w:r>
      <w:r>
        <w:rPr>
          <w:sz w:val="21"/>
        </w:rPr>
        <w:t>（自动放宽或收尾时如实告知）。需要用户决定的候选选项在本轮输出结束后才挂出，避免与进行中的运行抢跑；长任务因此既不会表现为无响应，也不会在执行细节上打扰用户。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，端口被占用时自动顺延。默认只监听本机；若需在同一网段的其他机器上使用，把 </w:t>
      </w:r>
      <w:r>
        <w:rPr>
          <w:rFonts w:ascii="DejaVu Sans Mono" w:hAnsi="DejaVu Sans Mono"/>
          <w:sz w:val="19"/>
        </w:rPr>
        <w:t>HOST</w:t>
      </w:r>
      <w:r>
        <w:rPr>
          <w:sz w:val="21"/>
        </w:rPr>
        <w:t xml:space="preserve"> 设为 </w:t>
      </w:r>
      <w:r>
        <w:rPr>
          <w:rFonts w:ascii="DejaVu Sans Mono" w:hAnsi="DejaVu Sans Mono"/>
          <w:sz w:val="19"/>
        </w:rPr>
        <w:t>0.0.0.0</w:t>
      </w:r>
      <w:r>
        <w:rPr>
          <w:sz w:val="21"/>
        </w:rPr>
        <w:t xml:space="preserve"> 后重启，其他机器通过</w:t>
      </w:r>
      <w:r>
        <w:rPr>
          <w:rFonts w:ascii="DejaVu Sans Mono" w:hAnsi="DejaVu Sans Mono"/>
          <w:sz w:val="19"/>
        </w:rPr>
        <w:t>http://&lt;本机局域网 IP&gt;:&lt;端口&gt;</w:t>
      </w:r>
      <w:r>
        <w:rPr>
          <w:sz w:val="21"/>
        </w:rPr>
        <w:t xml:space="preserve"> 访问。服务不带鉴权，开放到局域网等于把全部运行结果、上传入口与设置项（含模型密钥）交给同网段的所有人，仅建议在可信网络中这样做。运行需要可用的模型端点（任意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两套界面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地址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形态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简易模式（默认）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</w:t>
            </w:r>
            <w:r>
              <w:rPr>
                <w:sz w:val="19"/>
              </w:rPr>
              <w:t xml:space="preserve">（别名 </w:t>
            </w:r>
            <w:r>
              <w:rPr>
                <w:rFonts w:ascii="DejaVu Sans Mono" w:hAnsi="DejaVu Sans Mono"/>
                <w:sz w:val="17"/>
              </w:rPr>
              <w:t>/simple</w:t>
            </w:r>
            <w:r>
              <w:rPr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只有「任务描述 + 筛选结果」两块，零参数表单；参数由默认值与受理层自动规划决定；结果区给前几名、关键指标与产物链接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高级模式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/advanced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三栏工作台（参数表单 / 对话与结果 / 运行详情），含历史检索、报告全文、中间数据与设置页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>两套界面走同一条标准智能体协议链路与同一批产物接口，结果完全一致，只是暴露的操作面不同。 对话区的呈现遵循同一套约定：回复按 Markdown 渲染（含 HTML 先转义与链接方案白名单），流式阶段 即为渲染后的样子；模型的思考过程收进气泡内默认收起的「思考」块（推理时展开可见，正文一到即自动 收起并记用时）；助手回执不做默认折叠；需要用户决定的候选选项在本轮输出结束后才挂出。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</w:t>
      </w:r>
      <w:r>
        <w:rPr>
          <w:b/>
          <w:sz w:val="21"/>
        </w:rPr>
        <w:t>受体与分子库是必需项</w:t>
      </w:r>
      <w:r>
        <w:rPr>
          <w:sz w:val="21"/>
        </w:rPr>
        <w:t>：未指定受体时系统</w:t>
      </w:r>
      <w:r>
        <w:rPr>
          <w:b/>
          <w:sz w:val="21"/>
        </w:rPr>
        <w:t>只提问、零计算</w:t>
      </w:r>
      <w:r>
        <w:rPr>
          <w:sz w:val="21"/>
        </w:rPr>
        <w:t>（给出 PDB 编号 / UniProt 登录号 / 受体名称 / 上传结构文件三条出路），</w:t>
      </w:r>
      <w:r>
        <w:rPr>
          <w:b/>
          <w:sz w:val="21"/>
        </w:rPr>
        <w:t>不存在默认受体</w:t>
      </w:r>
      <w:r>
        <w:rPr>
          <w:sz w:val="21"/>
        </w:rPr>
        <w:t>；未给出分子来源且未明确同意用示例库时同样只提问。点名受体时系统先做在线解析，存在多个合理候选时给出可选项而不代为决定。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结果区给出关键指标、运行笔记、可排序分页的推荐排行与逐分子结构卡。运行笔记记录本次运行中的降级、跳过与假设，可展开查看全文（对话气泡则不做默认折叠）。报告可导出为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可用示例库；受体注册表（</w:t>
            </w:r>
            <w:r>
              <w:rPr>
                <w:rFonts w:ascii="DejaVu Sans Mono" w:hAnsi="DejaVu Sans Mono"/>
                <w:sz w:val="17"/>
              </w:rPr>
              <w:t>/api/receptors</w:t>
            </w:r>
            <w:r>
              <w:rPr>
                <w:sz w:val="19"/>
              </w:rPr>
              <w:t xml:space="preserve"> 为</w:t>
            </w:r>
            <w:r>
              <w:rPr>
                <w:b/>
                <w:sz w:val="19"/>
              </w:rPr>
              <w:t>内部/诊断</w:t>
            </w:r>
            <w:r>
              <w:rPr>
                <w:sz w:val="19"/>
              </w:rPr>
              <w:t xml:space="preserve">端点，响应带 </w:t>
            </w:r>
            <w:r>
              <w:rPr>
                <w:rFonts w:ascii="DejaVu Sans Mono" w:hAnsi="DejaVu Sans Mono"/>
                <w:sz w:val="17"/>
              </w:rPr>
              <w:t>"internal": true</w:t>
            </w:r>
            <w:r>
              <w:rPr>
                <w:sz w:val="19"/>
              </w:rPr>
              <w:t>，网页界面不再调用，也不是用户可选来源）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探测外部工具（口袋预测、受体质子化 pdb2pqr、配体 pKa 引擎、外部对接引擎）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4.8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Dimorphite-DL（配体 pKa 引擎）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配体 pH 处理回退内置 pKa 规则表（近似），报告与运行记录注明回退原因与安装方法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理化性质与对接必须使用同一种化学形式。受体与配体都按</w:t>
      </w:r>
      <w:r>
        <w:rPr>
          <w:b/>
          <w:sz w:val="21"/>
        </w:rPr>
        <w:t>同一目标 pH</w:t>
      </w:r>
      <w:r>
        <w:rPr>
          <w:sz w:val="21"/>
        </w:rPr>
        <w:t xml:space="preserve"> 处理，且两侧各用专业工具：受体侧用 pdb2pqr 结合 PROPKA 的逐残基 pKa 判定重新分配质子化态；配体侧默认使用 Dimorphite-DL（RDKit 的 pKa 规则库）枚举可电离官能团的微观态。系统提供运行级质子化态策略：按目标 pH 分配、仅中和带净电荷的分子、或保持输入形式。同一分子在目标 pH 附近可能存在多个微观态时，系统按固定规则选定其中一个形式对接，并把全部候选与选择规则写入运行产物，报告中同时声明未做微观态布居与能量比较。金属辅因子、盐的反离子、多组分配体等特殊情形按保守规则处理，实际参与对接的化学形式逐分子记录，并在报告中说明；缺失专业配体引擎时自动回退内置 pKa 规则表（近似口径）并如实注明。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 xml:space="preserve">不同引擎与不同执行后端（CPU 与 GPU）在搜索策略与数值精度上存在差异，同一次排序中不混用引擎。配体统一按刚性大环准备（不切环、不采样环构象），以保证与经典 AutoDock 格点打分兼容。默认引擎为 </w:t>
      </w:r>
      <w:r>
        <w:rPr>
          <w:rFonts w:ascii="DejaVu Sans Mono" w:hAnsi="DejaVu Sans Mono"/>
          <w:sz w:val="19"/>
        </w:rPr>
        <w:t>auto</w:t>
      </w:r>
      <w:r>
        <w:rPr>
          <w:sz w:val="21"/>
        </w:rPr>
        <w:t xml:space="preserve">：优先内置 Vina，不可用时回退经典 AutoDock4（CPU）。用户也可在设置中登记本机安装的 GPU 对接工具并把「对接引擎」设为 </w:t>
      </w:r>
      <w:r>
        <w:rPr>
          <w:rFonts w:ascii="DejaVu Sans Mono" w:hAnsi="DejaVu Sans Mono"/>
          <w:sz w:val="19"/>
        </w:rPr>
        <w:t>external</w:t>
      </w:r>
      <w:r>
        <w:rPr>
          <w:sz w:val="21"/>
        </w:rPr>
        <w:t>，此时对接由该外部引擎执行（当前已接入执行适配的是 AutoDock-GPU 与 CPU 版 Vina 命令行），结果行与报告中记录实际引擎及其版本。若配置了外部引擎但不可用，系统拒绝启动并给出提示，而不是改用其他实现后照常出结果；登记了外部引擎而本次未选用时，运行笔记会明确说明本次仍由内置引擎计算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步数预算与工具调用序列自愈、界面行为与部署配置。计算与接口相关的检查在离线环境即可完成；界面检查包含静态契约校验（界面结构、设计令牌、候选交互时序）、DOM 级端到端验证与真实浏览器验证，后者用于确认标准协议下的请求形状、Markdown 渲染、思考折叠、候选点选时机与运行态、报告版式。当前本机全量为 853 项通过（离线快跑 599 通过、253 跳过）。持续集成流水线（</w:t>
      </w:r>
      <w:r>
        <w:rPr>
          <w:rFonts w:ascii="DejaVu Sans Mono" w:hAnsi="DejaVu Sans Mono"/>
          <w:sz w:val="19"/>
        </w:rPr>
        <w:t>.github/workflows/gate.yml</w:t>
      </w:r>
      <w:r>
        <w:rPr>
          <w:sz w:val="21"/>
        </w:rPr>
        <w:t xml:space="preserve">）在每次提交时运行静态门禁与离线用例；需要本机真实引擎（对接、口袋预测、质子化）的用例由 </w:t>
      </w:r>
      <w:r>
        <w:rPr>
          <w:rFonts w:ascii="DejaVu Sans Mono" w:hAnsi="DejaVu Sans Mono"/>
          <w:sz w:val="19"/>
        </w:rPr>
        <w:t>DOCKING_ENGINE_TESTS</w:t>
      </w:r>
      <w:r>
        <w:rPr>
          <w:sz w:val="21"/>
        </w:rPr>
        <w:t xml:space="preserve"> 开关分层，在具备引擎的机器上全量执行。文档与由它生成的 PDF/Word 之间用内容哈希核对，源变更后未重出产物会被门禁拦下。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ind w:firstLine="0"/>
      </w:pPr>
      <w:r>
        <w:rPr>
          <w:sz w:val="21"/>
        </w:rPr>
        <w:t>服务定位为本机工具，默认只监听回环地址且不带鉴权。在此前提下另设若干与监听地址无关的守卫：写操作的同源校验、内容安全策略与安全响应头、运行/线程/会话标识符的白名单校验，以及"校验已上传文件"端点对上传目录的限定。这些措施降低误暴露的代价，但不替代鉴权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