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接口三种使用方式：接口分为承载业务的产品接口与遵循标准智能体协议的 运行接口两组，共四十余个端点，覆盖运行发起、状态查询、产物下载与历史检索。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受体准备：从预置受体注册表、用户上传的结构文件，或在线结构库（按 PDB 编号、UniProt 登录号、基因名检索）获取受体，现场制备为对接输入；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依赖方向单向向下：接入层调用编排层，编排层调用计算层，记录层贯穿全过程。计算层不感知语言模型的存在，因此可以脱离智能体单独运行，这既是离线能力的基础，也是测试与复现的基础。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HTTP 接口与网页界面、标准智能体协议、命令行入口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协调智能体与四个子智能体、工具集、共享状态、报告定制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受体与配体准备、口袋与定盒、对接引擎、性质与指纹、排序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6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6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三类事件：文本增量、阶段进展与领域事件（例如逐分子对接结果），因此长任务不会表现为无响应的等待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引用已上传文件。未指定受体时使用默认受体并在报告中写明；点名受体时系统先做在线解析，存在多个合理候选时给出可选项而不代为决定。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结果区给出关键指标、运行笔记、可排序分页的推荐排行与逐分子结构卡。运行笔记记录本次运行中的降级、跳过与假设，默认折叠显示，可展开查看全文。报告可导出为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可用示例库与受体注册表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探测外部工具（口袋预测、质子化、外部对接引擎）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理化性质与对接必须使用同一种化学形式。系统提供运行级质子化态策略：按目标 pH 依内置规则分配、仅中和带净电荷的分子、或保持输入形式。金属辅因子、盐的反离子、多组分配体等特殊情形按保守规则处理，实际参与对接的化学形式逐分子记录，并在报告中说明。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GPU）在搜索策略与数值精度上存在差异，同一次排序中不混用引擎。若配置了外部引擎但不可用，系统拒绝启动并给出提示，而不是改用其他实现后照常出结果。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系统维护一组自动化检查，覆盖计算内核、智能体契约、报告版式、接口协议、界面行为与部署配置。计算与接口相关的检查在离线环境即可完成；界面检查包含静态校验、DOM 级端到端验证与真实浏览器验证，后者用于确认标准协议下的请求形状、报告版式与三栏布局。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