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36"/>
          <w:szCs w:val="36"/>
        </w:rPr>
        <w:t xml:space="preserve">Implementation Memo</w:t>
      </w:r>
    </w:p>
    <w:p>
      <w:pPr>
        <w:spacing w:after="100"/>
        <w:jc w:val="center"/>
      </w:pPr>
      <w:r>
        <w:rPr>
          <w:rFonts w:ascii="Arial" w:cs="Arial" w:eastAsia="Arial" w:hAnsi="Arial"/>
          <w:sz w:val="28"/>
          <w:szCs w:val="28"/>
        </w:rPr>
        <w:t xml:space="preserve">Adapting Becko, Sztutman &amp; Xia (2024) to NLSY79 Project</w:t>
      </w:r>
    </w:p>
    <w:p>
      <w:pPr>
        <w:spacing w:after="400"/>
        <w:jc w:val="center"/>
      </w:pPr>
      <w:r>
        <w:rPr>
          <w:rFonts w:ascii="Arial" w:cs="Arial" w:eastAsia="Arial" w:hAnsi="Arial"/>
          <w:sz w:val="22"/>
          <w:szCs w:val="22"/>
        </w:rPr>
        <w:t xml:space="preserve">Prepared for Yuhao — March 2026</w:t>
      </w:r>
    </w:p>
    <w:p>
      <w:pPr>
        <w:pStyle w:val="Heading1"/>
      </w:pPr>
      <w:r>
        <w:rPr>
          <w:rFonts w:ascii="Arial" w:cs="Arial" w:eastAsia="Arial" w:hAnsi="Arial"/>
          <w:b/>
          <w:bCs/>
          <w:sz w:val="32"/>
          <w:szCs w:val="32"/>
        </w:rPr>
        <w:t xml:space="preserve">Part 1: Paper’s Empirical Components</w:t>
      </w:r>
    </w:p>
    <w:p>
      <w:r>
        <w:rPr>
          <w:rFonts w:ascii="Arial" w:cs="Arial" w:eastAsia="Arial" w:hAnsi="Arial"/>
          <w:sz w:val="22"/>
          <w:szCs w:val="22"/>
        </w:rPr>
        <w:t xml:space="preserve">The paper contains five distinct empirical components that build on each other. I describe each precisely below.</w:t>
      </w:r>
    </w:p>
    <w:p>
      <w:pPr>
        <w:pStyle w:val="Heading2"/>
      </w:pPr>
      <w:r>
        <w:rPr>
          <w:rFonts w:ascii="Arial" w:cs="Arial" w:eastAsia="Arial" w:hAnsi="Arial"/>
          <w:b/>
          <w:bCs/>
          <w:sz w:val="28"/>
          <w:szCs w:val="28"/>
        </w:rPr>
        <w:t xml:space="preserve">1.1 Baseline Tax Elasticity Regression (Eq. 29)</w:t>
      </w:r>
    </w:p>
    <w:p>
      <w:r>
        <w:rPr>
          <w:rFonts w:ascii="Arial" w:cs="Arial" w:eastAsia="Arial" w:hAnsi="Arial"/>
          <w:b/>
          <w:bCs/>
          <w:sz w:val="22"/>
          <w:szCs w:val="22"/>
        </w:rPr>
        <w:t xml:space="preserve">Dependent variable: </w:t>
      </w:r>
      <w:r>
        <w:rPr>
          <w:rFonts w:ascii="Arial" w:cs="Arial" w:eastAsia="Arial" w:hAnsi="Arial"/>
          <w:sz w:val="22"/>
          <w:szCs w:val="22"/>
        </w:rPr>
        <w:t xml:space="preserve">Δlog(z_{i,t+3}), the 3-year change in log taxable income for individual i.</w:t>
      </w:r>
    </w:p>
    <w:p>
      <w:r>
        <w:rPr>
          <w:rFonts w:ascii="Arial" w:cs="Arial" w:eastAsia="Arial" w:hAnsi="Arial"/>
          <w:b/>
          <w:bCs/>
          <w:sz w:val="22"/>
          <w:szCs w:val="22"/>
        </w:rPr>
        <w:t xml:space="preserve">Key endogenous regressor: </w:t>
      </w:r>
      <w:r>
        <w:rPr>
          <w:rFonts w:ascii="Arial" w:cs="Arial" w:eastAsia="Arial" w:hAnsi="Arial"/>
          <w:sz w:val="22"/>
          <w:szCs w:val="22"/>
        </w:rPr>
        <w:t xml:space="preserve">Δlog(1−T′)_{i,t+3}, the 3-year change in log net-of-tax rate (1 minus marginal tax rate).</w:t>
      </w:r>
    </w:p>
    <w:p>
      <w:r>
        <w:rPr>
          <w:rFonts w:ascii="Arial" w:cs="Arial" w:eastAsia="Arial" w:hAnsi="Arial"/>
          <w:b/>
          <w:bCs/>
          <w:sz w:val="22"/>
          <w:szCs w:val="22"/>
        </w:rPr>
        <w:t xml:space="preserve">Instrument: </w:t>
      </w:r>
      <w:r>
        <w:rPr>
          <w:rFonts w:ascii="Arial" w:cs="Arial" w:eastAsia="Arial" w:hAnsi="Arial"/>
          <w:sz w:val="22"/>
          <w:szCs w:val="22"/>
        </w:rPr>
        <w:t xml:space="preserve">Simulated Δlog(1−T′)_{i,t+3}. Constructed by running TAXSIM with individual i’s base-year (year t) earnings profile but under year t+3 tax law. The instrument isolates variation in tax rates coming purely from legislative changes, not behavioral responses.</w:t>
      </w:r>
    </w:p>
    <w:p>
      <w:r>
        <w:rPr>
          <w:rFonts w:ascii="Arial" w:cs="Arial" w:eastAsia="Arial" w:hAnsi="Arial"/>
          <w:b/>
          <w:bCs/>
          <w:sz w:val="22"/>
          <w:szCs w:val="22"/>
        </w:rPr>
        <w:t xml:space="preserve">Controls: </w:t>
      </w:r>
      <w:r>
        <w:rPr>
          <w:rFonts w:ascii="Arial" w:cs="Arial" w:eastAsia="Arial" w:hAnsi="Arial"/>
          <w:sz w:val="22"/>
          <w:szCs w:val="22"/>
        </w:rPr>
        <w:t xml:space="preserve">Year fixed effects (δ_t), married dummy (M_{i,t}), 10-piece linear spline of base-year income (SPLINE_j(z_{i,t})).</w:t>
      </w:r>
    </w:p>
    <w:p>
      <w:r>
        <w:rPr>
          <w:rFonts w:ascii="Arial" w:cs="Arial" w:eastAsia="Arial" w:hAnsi="Arial"/>
          <w:b/>
          <w:bCs/>
          <w:sz w:val="22"/>
          <w:szCs w:val="22"/>
        </w:rPr>
        <w:t xml:space="preserve">Sample: </w:t>
      </w:r>
      <w:r>
        <w:rPr>
          <w:rFonts w:ascii="Arial" w:cs="Arial" w:eastAsia="Arial" w:hAnsi="Arial"/>
          <w:sz w:val="22"/>
          <w:szCs w:val="22"/>
        </w:rPr>
        <w:t xml:space="preserve">SIPP core panels 2000–2013. Restrictions: taxable income &gt; $5,000 (2008 dollars), stable marital status across the 3-year window, marginal tax rates in [−1, 1], absolute 3-year change in marginal taxes &lt; 0.4. Variation comes from both federal and state tax reforms.</w:t>
      </w:r>
    </w:p>
    <w:p>
      <w:r>
        <w:rPr>
          <w:rFonts w:ascii="Arial" w:cs="Arial" w:eastAsia="Arial" w:hAnsi="Arial"/>
          <w:b/>
          <w:bCs/>
          <w:sz w:val="22"/>
          <w:szCs w:val="22"/>
        </w:rPr>
        <w:t xml:space="preserve">Taxable income definition: </w:t>
      </w:r>
      <w:r>
        <w:rPr>
          <w:rFonts w:ascii="Arial" w:cs="Arial" w:eastAsia="Arial" w:hAnsi="Arial"/>
          <w:sz w:val="22"/>
          <w:szCs w:val="22"/>
        </w:rPr>
        <w:t xml:space="preserve">Broad income (Gruber-Saez style): labor income + interest + dividends + pensions + UI + business income + property income + non-property income. No deductions/exemptions in SIPP.</w:t>
      </w:r>
    </w:p>
    <w:p>
      <w:pPr>
        <w:pStyle w:val="Heading2"/>
      </w:pPr>
      <w:r>
        <w:rPr>
          <w:rFonts w:ascii="Arial" w:cs="Arial" w:eastAsia="Arial" w:hAnsi="Arial"/>
          <w:b/>
          <w:bCs/>
          <w:sz w:val="28"/>
          <w:szCs w:val="28"/>
        </w:rPr>
        <w:t xml:space="preserve">1.2 Baseline Wage/Productivity Elasticity Regression (Eq. 30)</w:t>
      </w:r>
    </w:p>
    <w:p>
      <w:r>
        <w:rPr>
          <w:rFonts w:ascii="Arial" w:cs="Arial" w:eastAsia="Arial" w:hAnsi="Arial"/>
          <w:b/>
          <w:bCs/>
          <w:sz w:val="22"/>
          <w:szCs w:val="22"/>
        </w:rPr>
        <w:t xml:space="preserve">Dependent variable: </w:t>
      </w:r>
      <w:r>
        <w:rPr>
          <w:rFonts w:ascii="Arial" w:cs="Arial" w:eastAsia="Arial" w:hAnsi="Arial"/>
          <w:sz w:val="22"/>
          <w:szCs w:val="22"/>
        </w:rPr>
        <w:t xml:space="preserve">Δlog(z_{i,t+3}), same as tax elasticity.</w:t>
      </w:r>
    </w:p>
    <w:p>
      <w:r>
        <w:rPr>
          <w:rFonts w:ascii="Arial" w:cs="Arial" w:eastAsia="Arial" w:hAnsi="Arial"/>
          <w:b/>
          <w:bCs/>
          <w:sz w:val="22"/>
          <w:szCs w:val="22"/>
        </w:rPr>
        <w:t xml:space="preserve">Key endogenous regressor: </w:t>
      </w:r>
      <w:r>
        <w:rPr>
          <w:rFonts w:ascii="Arial" w:cs="Arial" w:eastAsia="Arial" w:hAnsi="Arial"/>
          <w:sz w:val="22"/>
          <w:szCs w:val="22"/>
        </w:rPr>
        <w:t xml:space="preserve">Δlog(w_{i,t+3}), the 3-year change in log hourly wage for individual i.</w:t>
      </w:r>
    </w:p>
    <w:p>
      <w:r>
        <w:rPr>
          <w:rFonts w:ascii="Arial" w:cs="Arial" w:eastAsia="Arial" w:hAnsi="Arial"/>
          <w:b/>
          <w:bCs/>
          <w:sz w:val="22"/>
          <w:szCs w:val="22"/>
        </w:rPr>
        <w:t xml:space="preserve">Instrument: </w:t>
      </w:r>
      <w:r>
        <w:rPr>
          <w:rFonts w:ascii="Arial" w:cs="Arial" w:eastAsia="Arial" w:hAnsi="Arial"/>
          <w:sz w:val="22"/>
          <w:szCs w:val="22"/>
        </w:rPr>
        <w:t xml:space="preserve">Leave-one-out average wage change of other individuals in the same base-year industry cohort. Formally (Eq. 31): Δŵ_{i,t+3} = log(sum of earnings of others in cohort at t+3 / sum of hours of others at t+3) − log(sum of earnings at t / sum of hours at t). Crucially, this uses individual-level wage changes (not industry-level), to avoid compositional bias.</w:t>
      </w:r>
    </w:p>
    <w:p>
      <w:r>
        <w:rPr>
          <w:rFonts w:ascii="Arial" w:cs="Arial" w:eastAsia="Arial" w:hAnsi="Arial"/>
          <w:b/>
          <w:bCs/>
          <w:sz w:val="22"/>
          <w:szCs w:val="22"/>
        </w:rPr>
        <w:t xml:space="preserve">Controls: </w:t>
      </w:r>
      <w:r>
        <w:rPr>
          <w:rFonts w:ascii="Arial" w:cs="Arial" w:eastAsia="Arial" w:hAnsi="Arial"/>
          <w:sz w:val="22"/>
          <w:szCs w:val="22"/>
        </w:rPr>
        <w:t xml:space="preserve">Same as tax elasticity: year FE, married dummy, 10-piece income splines.</w:t>
      </w:r>
    </w:p>
    <w:p>
      <w:r>
        <w:rPr>
          <w:rFonts w:ascii="Arial" w:cs="Arial" w:eastAsia="Arial" w:hAnsi="Arial"/>
          <w:b/>
          <w:bCs/>
          <w:sz w:val="22"/>
          <w:szCs w:val="22"/>
        </w:rPr>
        <w:t xml:space="preserve">Identification assumption: </w:t>
      </w:r>
      <w:r>
        <w:rPr>
          <w:rFonts w:ascii="Arial" w:cs="Arial" w:eastAsia="Arial" w:hAnsi="Arial"/>
          <w:sz w:val="22"/>
          <w:szCs w:val="22"/>
        </w:rPr>
        <w:t xml:space="preserve">Market-level labor supply shocks are small relative to market-level labor demand shocks, at least after year FE. Individual labor supply shocks are absorbed by the leave-one-out construction.</w:t>
      </w:r>
    </w:p>
    <w:p>
      <w:pPr>
        <w:pStyle w:val="Heading2"/>
      </w:pPr>
      <w:r>
        <w:rPr>
          <w:rFonts w:ascii="Arial" w:cs="Arial" w:eastAsia="Arial" w:hAnsi="Arial"/>
          <w:b/>
          <w:bCs/>
          <w:sz w:val="28"/>
          <w:szCs w:val="28"/>
        </w:rPr>
        <w:t xml:space="preserve">1.3 Heterogeneous Elasticity Estimation (Instrumental Forests)</w:t>
      </w:r>
    </w:p>
    <w:p>
      <w:r>
        <w:rPr>
          <w:rFonts w:ascii="Arial" w:cs="Arial" w:eastAsia="Arial" w:hAnsi="Arial"/>
          <w:sz w:val="22"/>
          <w:szCs w:val="22"/>
        </w:rPr>
        <w:t xml:space="preserve">The paper applies the instrumental forests method from Athey, Tibshirani &amp; Wager (2019) twice—once for tax elasticities β(X_i) and once for wage elasticities ε_w(X_i)—to estimate elasticities as functions of observable covariates.</w:t>
      </w:r>
    </w:p>
    <w:p>
      <w:r>
        <w:rPr>
          <w:rFonts w:ascii="Arial" w:cs="Arial" w:eastAsia="Arial" w:hAnsi="Arial"/>
          <w:b/>
          <w:bCs/>
          <w:sz w:val="22"/>
          <w:szCs w:val="22"/>
        </w:rPr>
        <w:t xml:space="preserve">Covariates (X_{i,t}): </w:t>
      </w:r>
      <w:r>
        <w:rPr>
          <w:rFonts w:ascii="Arial" w:cs="Arial" w:eastAsia="Arial" w:hAnsi="Arial"/>
          <w:sz w:val="22"/>
          <w:szCs w:val="22"/>
        </w:rPr>
        <w:t xml:space="preserve">Sex, marital status, number of dependents, education, age, years at current job, occupation category, taxable income, marginal rate, self-employment income, mortgage interest, rent, property tax. All measured at base year.</w:t>
      </w:r>
    </w:p>
    <w:p>
      <w:r>
        <w:rPr>
          <w:rFonts w:ascii="Arial" w:cs="Arial" w:eastAsia="Arial" w:hAnsi="Arial"/>
          <w:b/>
          <w:bCs/>
          <w:sz w:val="22"/>
          <w:szCs w:val="22"/>
        </w:rPr>
        <w:t xml:space="preserve">Centering (pre-residualization): </w:t>
      </w:r>
      <w:r>
        <w:rPr>
          <w:rFonts w:ascii="Arial" w:cs="Arial" w:eastAsia="Arial" w:hAnsi="Arial"/>
          <w:sz w:val="22"/>
          <w:szCs w:val="22"/>
        </w:rPr>
        <w:t xml:space="preserve">Before applying GRF, they residualize Y, W, and Z on: marital status, state-year fixed effects, and 10-piece linear splines of base-year income (Eq. 104 in Appendix C.4).</w:t>
      </w:r>
    </w:p>
    <w:p>
      <w:r>
        <w:rPr>
          <w:rFonts w:ascii="Arial" w:cs="Arial" w:eastAsia="Arial" w:hAnsi="Arial"/>
          <w:b/>
          <w:bCs/>
          <w:sz w:val="22"/>
          <w:szCs w:val="22"/>
        </w:rPr>
        <w:t xml:space="preserve">Output: </w:t>
      </w:r>
      <w:r>
        <w:rPr>
          <w:rFonts w:ascii="Arial" w:cs="Arial" w:eastAsia="Arial" w:hAnsi="Arial"/>
          <w:sz w:val="22"/>
          <w:szCs w:val="22"/>
        </w:rPr>
        <w:t xml:space="preserve">Individual-level predicted elasticities β̂_{i,t} = β̂(X_{i,t}) and ε̂_{w,i,t} = ε̂_w(X_{i,t}) for each observation. The heatmap (Figure 4) shows an unconditional correlation of 0.64 between these two estimates.</w:t>
      </w:r>
    </w:p>
    <w:p>
      <w:r>
        <w:rPr>
          <w:rFonts w:ascii="Arial" w:cs="Arial" w:eastAsia="Arial" w:hAnsi="Arial"/>
          <w:b/>
          <w:bCs/>
          <w:sz w:val="22"/>
          <w:szCs w:val="22"/>
        </w:rPr>
        <w:t xml:space="preserve">Software: </w:t>
      </w:r>
      <w:r>
        <w:rPr>
          <w:rFonts w:ascii="Arial" w:cs="Arial" w:eastAsia="Arial" w:hAnsi="Arial"/>
          <w:sz w:val="22"/>
          <w:szCs w:val="22"/>
        </w:rPr>
        <w:t xml:space="preserve">R ‘grf’ package, specifically the instrumental_forest() function.</w:t>
      </w:r>
    </w:p>
    <w:p>
      <w:pPr>
        <w:pStyle w:val="Heading2"/>
      </w:pPr>
      <w:r>
        <w:rPr>
          <w:rFonts w:ascii="Arial" w:cs="Arial" w:eastAsia="Arial" w:hAnsi="Arial"/>
          <w:b/>
          <w:bCs/>
          <w:sz w:val="28"/>
          <w:szCs w:val="28"/>
        </w:rPr>
        <w:t xml:space="preserve">1.4 Income-Conditional Correlation Estimation</w:t>
      </w:r>
    </w:p>
    <w:p>
      <w:r>
        <w:rPr>
          <w:rFonts w:ascii="Arial" w:cs="Arial" w:eastAsia="Arial" w:hAnsi="Arial"/>
          <w:sz w:val="22"/>
          <w:szCs w:val="22"/>
        </w:rPr>
        <w:t xml:space="preserve">With individual-level predicted elasticities in hand, the paper estimates the income-conditional correlation ψ(z) = Corr[β^h, ε^h_w | z^h = z] via a four-step procedure:</w:t>
      </w:r>
    </w:p>
    <w:p>
      <w:r>
        <w:rPr>
          <w:rFonts w:ascii="Arial" w:cs="Arial" w:eastAsia="Arial" w:hAnsi="Arial"/>
          <w:b/>
          <w:bCs/>
          <w:sz w:val="22"/>
          <w:szCs w:val="22"/>
        </w:rPr>
        <w:t xml:space="preserve">Step 1: </w:t>
      </w:r>
      <w:r>
        <w:rPr>
          <w:rFonts w:ascii="Arial" w:cs="Arial" w:eastAsia="Arial" w:hAnsi="Arial"/>
          <w:sz w:val="22"/>
          <w:szCs w:val="22"/>
        </w:rPr>
        <w:t xml:space="preserve">Shift to year-demeaned log incomes z̃ to filter business cycle variation.</w:t>
      </w:r>
    </w:p>
    <w:p>
      <w:r>
        <w:rPr>
          <w:rFonts w:ascii="Arial" w:cs="Arial" w:eastAsia="Arial" w:hAnsi="Arial"/>
          <w:b/>
          <w:bCs/>
          <w:sz w:val="22"/>
          <w:szCs w:val="22"/>
        </w:rPr>
        <w:t xml:space="preserve">Step 2: </w:t>
      </w:r>
      <w:r>
        <w:rPr>
          <w:rFonts w:ascii="Arial" w:cs="Arial" w:eastAsia="Arial" w:hAnsi="Arial"/>
          <w:sz w:val="22"/>
          <w:szCs w:val="22"/>
        </w:rPr>
        <w:t xml:space="preserve">Local linear regressions of β̂_{i,t} and ε̂_{w,i,t} on z̃_{i,t} to get conditional mean functions f̂_β(·) and f̂_{ε_w}(·). Bandwidth = 0.2.</w:t>
      </w:r>
    </w:p>
    <w:p>
      <w:r>
        <w:rPr>
          <w:rFonts w:ascii="Arial" w:cs="Arial" w:eastAsia="Arial" w:hAnsi="Arial"/>
          <w:b/>
          <w:bCs/>
          <w:sz w:val="22"/>
          <w:szCs w:val="22"/>
        </w:rPr>
        <w:t xml:space="preserve">Step 3: </w:t>
      </w:r>
      <w:r>
        <w:rPr>
          <w:rFonts w:ascii="Arial" w:cs="Arial" w:eastAsia="Arial" w:hAnsi="Arial"/>
          <w:sz w:val="22"/>
          <w:szCs w:val="22"/>
        </w:rPr>
        <w:t xml:space="preserve">Local linear regressions of the residual products and squares (Eq. 36) to get conditional covariance f̂_c(·) and conditional variances f̂_{vβ}(·), f̂_{vε_w}(·).</w:t>
      </w:r>
    </w:p>
    <w:p>
      <w:r>
        <w:rPr>
          <w:rFonts w:ascii="Arial" w:cs="Arial" w:eastAsia="Arial" w:hAnsi="Arial"/>
          <w:b/>
          <w:bCs/>
          <w:sz w:val="22"/>
          <w:szCs w:val="22"/>
        </w:rPr>
        <w:t xml:space="preserve">Step 4: </w:t>
      </w:r>
      <w:r>
        <w:rPr>
          <w:rFonts w:ascii="Arial" w:cs="Arial" w:eastAsia="Arial" w:hAnsi="Arial"/>
          <w:sz w:val="22"/>
          <w:szCs w:val="22"/>
        </w:rPr>
        <w:t xml:space="preserve">Plug-in correlation: ψ̂(z̃) = f̂_c(z̃) / sqrt(f̂_{vβ}(z̃) · f̂_{vε_w}(z̃)). Bootstrap (300 reps) for bias correction and 95% CIs.</w:t>
      </w:r>
    </w:p>
    <w:p>
      <w:r>
        <w:rPr>
          <w:rFonts w:ascii="Arial" w:cs="Arial" w:eastAsia="Arial" w:hAnsi="Arial"/>
          <w:b/>
          <w:bCs/>
          <w:sz w:val="22"/>
          <w:szCs w:val="22"/>
        </w:rPr>
        <w:t xml:space="preserve">Key finding: </w:t>
      </w:r>
      <w:r>
        <w:rPr>
          <w:rFonts w:ascii="Arial" w:cs="Arial" w:eastAsia="Arial" w:hAnsi="Arial"/>
          <w:sz w:val="22"/>
          <w:szCs w:val="22"/>
        </w:rPr>
        <w:t xml:space="preserve">Average within-income correlation ψ̂ = 0.56 with 95% CI (0.32, 0.87). At top incomes, around 0.6.</w:t>
      </w:r>
    </w:p>
    <w:p>
      <w:pPr>
        <w:pStyle w:val="Heading2"/>
      </w:pPr>
      <w:r>
        <w:rPr>
          <w:rFonts w:ascii="Arial" w:cs="Arial" w:eastAsia="Arial" w:hAnsi="Arial"/>
          <w:b/>
          <w:bCs/>
          <w:sz w:val="28"/>
          <w:szCs w:val="28"/>
        </w:rPr>
        <w:t xml:space="preserve">1.5 Ballpark Quantification (Eq. 40–41)</w:t>
      </w:r>
    </w:p>
    <w:p>
      <w:r>
        <w:rPr>
          <w:rFonts w:ascii="Arial" w:cs="Arial" w:eastAsia="Arial" w:hAnsi="Arial"/>
          <w:sz w:val="22"/>
          <w:szCs w:val="22"/>
        </w:rPr>
        <w:t xml:space="preserve">The final quantification combines published statistics with the estimated correlation:</w:t>
      </w:r>
    </w:p>
    <w:p>
      <w:r>
        <w:rPr>
          <w:rFonts w:ascii="Arial" w:cs="Arial" w:eastAsia="Arial" w:hAnsi="Arial"/>
          <w:b/>
          <w:bCs/>
          <w:sz w:val="22"/>
          <w:szCs w:val="22"/>
        </w:rPr>
        <w:t xml:space="preserve">Pareto shape (α_top): </w:t>
      </w:r>
      <w:r>
        <w:rPr>
          <w:rFonts w:ascii="Arial" w:cs="Arial" w:eastAsia="Arial" w:hAnsi="Arial"/>
          <w:sz w:val="22"/>
          <w:szCs w:val="22"/>
        </w:rPr>
        <w:t xml:space="preserve">Estimated from WID income shares of top 1% and 0.1%. Declined from 1.70 (1994) to 1.47 (2023). Δlogα ≈ −0.145.</w:t>
      </w:r>
    </w:p>
    <w:p>
      <w:r>
        <w:rPr>
          <w:rFonts w:ascii="Arial" w:cs="Arial" w:eastAsia="Arial" w:hAnsi="Arial"/>
          <w:b/>
          <w:bCs/>
          <w:sz w:val="22"/>
          <w:szCs w:val="22"/>
        </w:rPr>
        <w:t xml:space="preserve">Change in top ETI: </w:t>
      </w:r>
      <w:r>
        <w:rPr>
          <w:rFonts w:ascii="Arial" w:cs="Arial" w:eastAsia="Arial" w:hAnsi="Arial"/>
          <w:sz w:val="22"/>
          <w:szCs w:val="22"/>
        </w:rPr>
        <w:t xml:space="preserve">Δlogε ≈ log(1.167) × 1.70 × (0.25 / 0.3²) × 0.6 = 0.437. Uses: productivity growth = 16.7% for 95–99th percentile, α̃ = 1.70, Var(ε) lower bound = 0.25, mean ETI = 0.3, correlation = 0.6.</w:t>
      </w:r>
    </w:p>
    <w:p>
      <w:r>
        <w:rPr>
          <w:rFonts w:ascii="Arial" w:cs="Arial" w:eastAsia="Arial" w:hAnsi="Arial"/>
          <w:b/>
          <w:bCs/>
          <w:sz w:val="22"/>
          <w:szCs w:val="22"/>
        </w:rPr>
        <w:t xml:space="preserve">Net change: </w:t>
      </w:r>
      <w:r>
        <w:rPr>
          <w:rFonts w:ascii="Arial" w:cs="Arial" w:eastAsia="Arial" w:hAnsi="Arial"/>
          <w:sz w:val="22"/>
          <w:szCs w:val="22"/>
        </w:rPr>
        <w:t xml:space="preserve">Δlogκ = −0.145 + 0.437 = 0.292. Cost of redistribution rose ~34% from 1994 to 2023.</w:t>
      </w:r>
    </w:p>
    <w:p>
      <w:r>
        <w:br w:type="page"/>
      </w:r>
    </w:p>
    <w:p>
      <w:pPr>
        <w:pStyle w:val="Heading1"/>
      </w:pPr>
      <w:r>
        <w:rPr>
          <w:rFonts w:ascii="Arial" w:cs="Arial" w:eastAsia="Arial" w:hAnsi="Arial"/>
          <w:b/>
          <w:bCs/>
          <w:sz w:val="32"/>
          <w:szCs w:val="32"/>
        </w:rPr>
        <w:t xml:space="preserve">Part 2: Mapping to Your NLSY79 Project</w:t>
      </w:r>
    </w:p>
    <w:p>
      <w:pPr>
        <w:pStyle w:val="Heading2"/>
      </w:pPr>
      <w:r>
        <w:rPr>
          <w:rFonts w:ascii="Arial" w:cs="Arial" w:eastAsia="Arial" w:hAnsi="Arial"/>
          <w:b/>
          <w:bCs/>
          <w:sz w:val="28"/>
          <w:szCs w:val="28"/>
        </w:rPr>
        <w:t xml:space="preserve">2.1 Current Project Assets</w:t>
      </w:r>
    </w:p>
    <w:p>
      <w:r>
        <w:rPr>
          <w:rFonts w:ascii="Arial" w:cs="Arial" w:eastAsia="Arial" w:hAnsi="Arial"/>
          <w:sz w:val="22"/>
          <w:szCs w:val="22"/>
        </w:rPr>
        <w:t xml:space="preserve">Based on inspection of your codebase and past work, you have the following: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sz w:val="20"/>
                <w:szCs w:val="20"/>
              </w:rPr>
              <w:t xml:space="preserve">Asset</w:t>
            </w:r>
          </w:p>
        </w:tc>
        <w:tc>
          <w:tcPr>
            <w:tcW w:type="dxa" w:w="1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sz w:val="20"/>
                <w:szCs w:val="20"/>
              </w:rPr>
              <w:t xml:space="preserve">Status</w:t>
            </w:r>
          </w:p>
        </w:tc>
        <w:tc>
          <w:tcPr>
            <w:tcW w:type="dxa" w:w="53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sz w:val="20"/>
                <w:szCs w:val="20"/>
              </w:rPr>
              <w:t xml:space="preserve">Details</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NLSY79 panel (wide→long)</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Complete</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12,686 individuals, 583,556 person-year obs, 1978–2019</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TAXSIM pipeline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Complete</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Actual MTRs + counterfactual (CPI-adjusted t−3 income) MTRs via TAXSIM 35</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Gruber-Saez tax elasticity (2SLS)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Complete</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Annual (1978–1993) and biennial (1995–2019), 10-piece splines, income weighting</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Taxable income (broad)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Complete</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pwages + swages + dividends + interest + pensions + UI + business + property + nonproperty income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Hourly wages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Partial</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Have pwages (annual earnings) and hours worked; can compute hourly wage = pwages/hours</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Industry codes (1970 Census)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Complete</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Broad industry categories (12 groups) for 1979–1993</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Occupation codes (1970 Census)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Complete</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Broad occupation categories (9 groups) for 1979–1993</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Demographics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Complete</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Sex, age, education (HGC), marital status, race, AFQT, dependents</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Cumulative hours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Complete</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Cumulative hours since age 14, with biennial interpolation</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Potential experience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Complete</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Age − education − 6, year-specific</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CPI data (BLS)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Complete</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For real income calculations and instrument construction</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Skill vs. Signal analysis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Complete</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Altonji-Pierret employer learning tests, sheepskin effects</w:t>
            </w:r>
          </w:p>
        </w:tc>
      </w:tr>
    </w:tbl>
    <w:p>
      <w:pPr>
        <w:spacing w:after="100"/>
      </w:pPr>
    </w:p>
    <w:p>
      <w:pPr>
        <w:pStyle w:val="Heading2"/>
      </w:pPr>
      <w:r>
        <w:rPr>
          <w:rFonts w:ascii="Arial" w:cs="Arial" w:eastAsia="Arial" w:hAnsi="Arial"/>
          <w:b/>
          <w:bCs/>
          <w:sz w:val="28"/>
          <w:szCs w:val="28"/>
        </w:rPr>
        <w:t xml:space="preserve">2.2 Feasibility Classification</w:t>
      </w:r>
    </w:p>
    <w:p>
      <w:pPr>
        <w:pStyle w:val="Heading3"/>
      </w:pPr>
      <w:r>
        <w:rPr>
          <w:rFonts w:ascii="Arial" w:cs="Arial" w:eastAsia="Arial" w:hAnsi="Arial"/>
          <w:b/>
          <w:bCs/>
          <w:sz w:val="24"/>
          <w:szCs w:val="24"/>
        </w:rPr>
        <w:t xml:space="preserve">A. Directly Replicable</w:t>
      </w:r>
    </w:p>
    <w:p>
      <w:r>
        <w:rPr>
          <w:rFonts w:ascii="Arial" w:cs="Arial" w:eastAsia="Arial" w:hAnsi="Arial"/>
          <w:b/>
          <w:bCs/>
          <w:sz w:val="22"/>
          <w:szCs w:val="22"/>
        </w:rPr>
        <w:t xml:space="preserve">Tax elasticity regression (Eq. 29). </w:t>
      </w:r>
      <w:r>
        <w:rPr>
          <w:rFonts w:ascii="Arial" w:cs="Arial" w:eastAsia="Arial" w:hAnsi="Arial"/>
          <w:sz w:val="22"/>
          <w:szCs w:val="22"/>
        </w:rPr>
        <w:t xml:space="preserve">You have already implemented this. The paper’s specification is essentially what you’ve built: 3-year changes, TAXSIM-based instrument, Gruber-Saez controls. Minor difference: paper uses SIPP (rotating panel, multiple cohorts), you use NLSY79 (single birth cohort). Your results (ETI ≈ −0.09 for annual period, 0.54 for biennial) are already informative. The comparison is interesting because NLSY79 tracks the same individuals over decades while SIPP is a repeated cross-section.</w:t>
      </w:r>
    </w:p>
    <w:p>
      <w:pPr>
        <w:pStyle w:val="Heading3"/>
      </w:pPr>
      <w:r>
        <w:rPr>
          <w:rFonts w:ascii="Arial" w:cs="Arial" w:eastAsia="Arial" w:hAnsi="Arial"/>
          <w:b/>
          <w:bCs/>
          <w:sz w:val="24"/>
          <w:szCs w:val="24"/>
        </w:rPr>
        <w:t xml:space="preserve">B. Adaptable with Modifications</w:t>
      </w:r>
    </w:p>
    <w:p>
      <w:r>
        <w:rPr>
          <w:rFonts w:ascii="Arial" w:cs="Arial" w:eastAsia="Arial" w:hAnsi="Arial"/>
          <w:b/>
          <w:bCs/>
          <w:sz w:val="22"/>
          <w:szCs w:val="22"/>
        </w:rPr>
        <w:t xml:space="preserve">1. Wage elasticity regression (Eq. 30). </w:t>
      </w:r>
      <w:r>
        <w:rPr>
          <w:rFonts w:ascii="Arial" w:cs="Arial" w:eastAsia="Arial" w:hAnsi="Arial"/>
          <w:sz w:val="22"/>
          <w:szCs w:val="22"/>
        </w:rPr>
        <w:t xml:space="preserve">This is the highest-value new component to implement. You need to: (a) construct hourly wages from earnings/hours, (b) build the leave-one-out industry wage instrument from your industry codes, (c) run the analogous 2SLS. The main limitation is that your industry codes only cover 1979–1993, so this regression is restricted to the annual period. However, this is actually advantageous—the annual period gives you consecutive-year observations, avoiding the biennial gap problem.</w:t>
      </w:r>
    </w:p>
    <w:p>
      <w:r>
        <w:rPr>
          <w:rFonts w:ascii="Arial" w:cs="Arial" w:eastAsia="Arial" w:hAnsi="Arial"/>
          <w:b/>
          <w:bCs/>
          <w:sz w:val="22"/>
          <w:szCs w:val="22"/>
        </w:rPr>
        <w:t xml:space="preserve">2. Heterogeneous elasticity estimation (GRF). </w:t>
      </w:r>
      <w:r>
        <w:rPr>
          <w:rFonts w:ascii="Arial" w:cs="Arial" w:eastAsia="Arial" w:hAnsi="Arial"/>
          <w:sz w:val="22"/>
          <w:szCs w:val="22"/>
        </w:rPr>
        <w:t xml:space="preserve">Feasible but requires switching to R for the ‘grf’ package. You have most required covariates: sex, marital status, dependents, education, age, occupation, taxable income, marginal rate. Missing covariates that the paper uses: years at current job (may be derivable from NLSY job tenure variables), mortgage interest, rent, property tax (available in your TAXSIM inputs), self-employment income (available as psemp). You would need to export your Stata data to R, run the forests, then bring predictions back to Stata for the correlation step.</w:t>
      </w:r>
    </w:p>
    <w:p>
      <w:r>
        <w:rPr>
          <w:rFonts w:ascii="Arial" w:cs="Arial" w:eastAsia="Arial" w:hAnsi="Arial"/>
          <w:b/>
          <w:bCs/>
          <w:sz w:val="22"/>
          <w:szCs w:val="22"/>
        </w:rPr>
        <w:t xml:space="preserve">3. Income-conditional correlation. </w:t>
      </w:r>
      <w:r>
        <w:rPr>
          <w:rFonts w:ascii="Arial" w:cs="Arial" w:eastAsia="Arial" w:hAnsi="Arial"/>
          <w:sz w:val="22"/>
          <w:szCs w:val="22"/>
        </w:rPr>
        <w:t xml:space="preserve">Once you have individual-level predicted elasticities from GRF, the local linear regressions and bootstrap are straightforward to implement in either R or Stata. This is the paper’s key novel empirical contribution—the correlation between tax and wage elasticities—and would be highly valuable to replicate with NLSY data.</w:t>
      </w:r>
    </w:p>
    <w:p>
      <w:pPr>
        <w:pStyle w:val="Heading3"/>
      </w:pPr>
      <w:r>
        <w:rPr>
          <w:rFonts w:ascii="Arial" w:cs="Arial" w:eastAsia="Arial" w:hAnsi="Arial"/>
          <w:b/>
          <w:bCs/>
          <w:sz w:val="24"/>
          <w:szCs w:val="24"/>
        </w:rPr>
        <w:t xml:space="preserve">C. Not Currently Feasible Without New Data</w:t>
      </w:r>
    </w:p>
    <w:p>
      <w:r>
        <w:rPr>
          <w:rFonts w:ascii="Arial" w:cs="Arial" w:eastAsia="Arial" w:hAnsi="Arial"/>
          <w:b/>
          <w:bCs/>
          <w:sz w:val="22"/>
          <w:szCs w:val="22"/>
        </w:rPr>
        <w:t xml:space="preserve">1. Pareto shape estimation from income shares. </w:t>
      </w:r>
      <w:r>
        <w:rPr>
          <w:rFonts w:ascii="Arial" w:cs="Arial" w:eastAsia="Arial" w:hAnsi="Arial"/>
          <w:sz w:val="22"/>
          <w:szCs w:val="22"/>
        </w:rPr>
        <w:t xml:space="preserve">The paper uses World Inequality Database income shares (top 1%, top 0.1%) to estimate Pareto tail parameters. NLSY79 cannot provide this—the sample is too small and not representative of the top tail. However, you can simply use published WID values, which is what the paper does.</w:t>
      </w:r>
    </w:p>
    <w:p>
      <w:r>
        <w:rPr>
          <w:rFonts w:ascii="Arial" w:cs="Arial" w:eastAsia="Arial" w:hAnsi="Arial"/>
          <w:b/>
          <w:bCs/>
          <w:sz w:val="22"/>
          <w:szCs w:val="22"/>
        </w:rPr>
        <w:t xml:space="preserve">2. Full quantification exercise (Eq. 40–41). </w:t>
      </w:r>
      <w:r>
        <w:rPr>
          <w:rFonts w:ascii="Arial" w:cs="Arial" w:eastAsia="Arial" w:hAnsi="Arial"/>
          <w:sz w:val="22"/>
          <w:szCs w:val="22"/>
        </w:rPr>
        <w:t xml:space="preserve">The final cost-of-redistribution calculation combines published Pareto shapes, estimated correlations, and assumed productivity growth. If you produce your own correlation estimates from NLSY, you could run a version of this exercise using published values for the other inputs. But the direct NLSY analog is limited because the single-cohort design means your income distribution doesn’t represent the full US distribution.</w:t>
      </w:r>
    </w:p>
    <w:p>
      <w:r>
        <w:rPr>
          <w:rFonts w:ascii="Arial" w:cs="Arial" w:eastAsia="Arial" w:hAnsi="Arial"/>
          <w:b/>
          <w:bCs/>
          <w:sz w:val="22"/>
          <w:szCs w:val="22"/>
        </w:rPr>
        <w:t xml:space="preserve">3. State-year fixed effects with SIPP-style variation. </w:t>
      </w:r>
      <w:r>
        <w:rPr>
          <w:rFonts w:ascii="Arial" w:cs="Arial" w:eastAsia="Arial" w:hAnsi="Arial"/>
          <w:sz w:val="22"/>
          <w:szCs w:val="22"/>
        </w:rPr>
        <w:t xml:space="preserve">The paper’s state-year FE exploit SIPP’s geographic coverage. NLSY79 has state of residence, but the sample size within state-year cells may be too thin for reliable FE estimation, especially in later biennial years.</w:t>
      </w:r>
    </w:p>
    <w:p>
      <w:r>
        <w:br w:type="page"/>
      </w:r>
    </w:p>
    <w:p>
      <w:pPr>
        <w:pStyle w:val="Heading1"/>
      </w:pPr>
      <w:r>
        <w:rPr>
          <w:rFonts w:ascii="Arial" w:cs="Arial" w:eastAsia="Arial" w:hAnsi="Arial"/>
          <w:b/>
          <w:bCs/>
          <w:sz w:val="32"/>
          <w:szCs w:val="32"/>
        </w:rPr>
        <w:t xml:space="preserve">Part 3: Key NLSY vs. SIPP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2560"/>
      </w:tblGrid>
      <w:tr>
        <w:tc>
          <w:tcPr>
            <w:tcW w:type="dxa" w:w="16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sz w:val="20"/>
                <w:szCs w:val="20"/>
              </w:rPr>
              <w:t xml:space="preserve">Dimension</w:t>
            </w:r>
          </w:p>
        </w:tc>
        <w:tc>
          <w:tcPr>
            <w:tcW w:type="dxa" w:w="2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sz w:val="20"/>
                <w:szCs w:val="20"/>
              </w:rPr>
              <w:t xml:space="preserve">SIPP (Paper)</w:t>
            </w:r>
          </w:p>
        </w:tc>
        <w:tc>
          <w:tcPr>
            <w:tcW w:type="dxa" w:w="2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sz w:val="20"/>
                <w:szCs w:val="20"/>
              </w:rPr>
              <w:t xml:space="preserve">NLSY79 (Your Project)</w:t>
            </w:r>
          </w:p>
        </w:tc>
        <w:tc>
          <w:tcPr>
            <w:tcW w:type="dxa" w:w="25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sz w:val="20"/>
                <w:szCs w:val="20"/>
              </w:rPr>
              <w:t xml:space="preserve">Implication</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Design</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Rotating panel, multiple cohorts</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Single birth cohort (1957–1964)</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NLSY tracks same people; SIPP has broader cross-section</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Sample size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Large (unstated, ~60K+)</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12,686 individuals, ~38K–48K in analysis samples</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Less power for subgroup analysis</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Time period</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2000–2013</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1978–2019 (annual through 1993, biennial after)</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Wider time span but biennial gap complicates 3-year lags</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Tax variation</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Federal + state reforms</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Federal + state (limited state coverage)</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May have weaker instrument in some periods</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Industry codes</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Available throughout</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1970 Census codes, 1979–1993 only</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Wage instrument restricted to annual period</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Hourly wages</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Directly available</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Must construct from earnings/hours</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Measurement error concern</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Income definition</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Broad income (no deductions in SIPP)</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Similar broad income construction</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Comparable</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Age range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Multiple cohorts, all ages</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Ages ~17–62 over sample period</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Life-cycle confounding possible</w:t>
            </w:r>
          </w:p>
        </w:tc>
      </w:tr>
    </w:tbl>
    <w:p>
      <w:r>
        <w:br w:type="page"/>
      </w:r>
    </w:p>
    <w:p>
      <w:pPr>
        <w:pStyle w:val="Heading1"/>
      </w:pPr>
      <w:r>
        <w:rPr>
          <w:rFonts w:ascii="Arial" w:cs="Arial" w:eastAsia="Arial" w:hAnsi="Arial"/>
          <w:b/>
          <w:bCs/>
          <w:sz w:val="32"/>
          <w:szCs w:val="32"/>
        </w:rPr>
        <w:t xml:space="preserve">Part 4: Implementation Plan (Ordered by Value/Feasibility)</w:t>
      </w:r>
    </w:p>
    <w:p>
      <w:pPr>
        <w:pStyle w:val="Heading2"/>
      </w:pPr>
      <w:r>
        <w:rPr>
          <w:rFonts w:ascii="Arial" w:cs="Arial" w:eastAsia="Arial" w:hAnsi="Arial"/>
          <w:b/>
          <w:bCs/>
          <w:sz w:val="28"/>
          <w:szCs w:val="28"/>
        </w:rPr>
        <w:t xml:space="preserve">Priority 1: Wage Elasticity Regression [HIGH VALUE, MODERATE EFFORT]</w:t>
      </w:r>
    </w:p>
    <w:p>
      <w:r>
        <w:rPr>
          <w:rFonts w:ascii="Arial" w:cs="Arial" w:eastAsia="Arial" w:hAnsi="Arial"/>
          <w:sz w:val="22"/>
          <w:szCs w:val="22"/>
        </w:rPr>
        <w:t xml:space="preserve">This is the single highest-value addition. It gives you the second elasticity needed for the sorting mechanism analysis and is the most directly replicable new method from the paper.</w:t>
      </w:r>
    </w:p>
    <w:p>
      <w:pPr>
        <w:pStyle w:val="Heading3"/>
      </w:pPr>
      <w:r>
        <w:rPr>
          <w:rFonts w:ascii="Arial" w:cs="Arial" w:eastAsia="Arial" w:hAnsi="Arial"/>
          <w:b/>
          <w:bCs/>
          <w:sz w:val="24"/>
          <w:szCs w:val="24"/>
        </w:rPr>
        <w:t xml:space="preserve">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sz w:val="20"/>
                <w:szCs w:val="20"/>
              </w:rPr>
              <w:t xml:space="preserve">Element</w:t>
            </w:r>
          </w:p>
        </w:tc>
        <w:tc>
          <w:tcPr>
            <w:tcW w:type="dxa" w:w="65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sz w:val="20"/>
                <w:szCs w:val="20"/>
              </w:rPr>
              <w:t xml:space="preserve">Specification</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Dependent variable</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Δlog(z_{i,t+3}): 3-year change in log taxable income (broad income)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Key regressor</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Δlog(w_{i,t+3}): 3-year change in log hourly wage, where w = pwages / annual_hours</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Instrument</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Leave-one-out Δŵ: log(sum earnings others in industry at t+3 / sum hours others at t+3) − log(sum earnings others at t / sum hours others at t)</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Controls</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Year FE, married dummy, 10-piece spline of log base-year income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Fixed effects</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Year FE (absorbed in i.year)</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Sample restrictions</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(1) Taxable income &gt; $5,000 real. (2) Stable marital status. (3) Positive hourly wages at both t and t+3. (4) Valid industry code at t. (5) Industry cohort has ≥5 other workers (for LOO reliability). (6) Annual period only: 1979–1993.</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Required data construction</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(a) Hourly wage = pwages / annual_hours. (b) Industry cohort = all individuals with same ind_broad in base year. (c) LOO instrument per Eq. 31. (d) Same spline construction as tax elasticity.</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Output</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Table: OLS vs. 2SLS wage elasticity. First-stage F-stat. Compare to tax elasticity from same sample.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Validation checks</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(1) First-stage F &gt; 10. (2) Wage elasticity should be positive (~1 + tax elasticity in theory). (3) Industry cohort sizes should be reasonable (median &gt; 20). (4) LOO instrument should have sufficient variation.</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Identification risks</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(1) Correlated demand/supply shocks within industry. (2) Worker mobility across industries (composition changes). (3) Hours measurement error in NLSY (self-reported). (4) Single cohort means industry cells may be small.</w:t>
            </w:r>
          </w:p>
        </w:tc>
      </w:tr>
    </w:tbl>
    <w:p>
      <w:pPr>
        <w:spacing w:after="100"/>
      </w:pPr>
    </w:p>
    <w:p>
      <w:pPr>
        <w:pStyle w:val="Heading3"/>
      </w:pPr>
      <w:r>
        <w:rPr>
          <w:rFonts w:ascii="Arial" w:cs="Arial" w:eastAsia="Arial" w:hAnsi="Arial"/>
          <w:b/>
          <w:bCs/>
          <w:sz w:val="24"/>
          <w:szCs w:val="24"/>
        </w:rPr>
        <w:t xml:space="preserve">Implementation Steps</w:t>
      </w:r>
    </w:p>
    <w:p>
      <w:r>
        <w:rPr>
          <w:rFonts w:ascii="Arial" w:cs="Arial" w:eastAsia="Arial" w:hAnsi="Arial"/>
          <w:b/>
          <w:bCs/>
          <w:sz w:val="22"/>
          <w:szCs w:val="22"/>
        </w:rPr>
        <w:t xml:space="preserve">Step 1. </w:t>
      </w:r>
      <w:r>
        <w:rPr>
          <w:rFonts w:ascii="Arial" w:cs="Arial" w:eastAsia="Arial" w:hAnsi="Arial"/>
          <w:sz w:val="22"/>
          <w:szCs w:val="22"/>
        </w:rPr>
        <w:t xml:space="preserve">Construct hourly wages. In your existing long-format data (nlsy_long_pre_taxsim.dta), compute w_{i,t} = pwages_{i,t} / hours_{i,t}. Use annual hours worked at primary job. Drop observations with hours &lt; 520 (10 hrs/week) or &gt; 4160 (80 hrs/week) to trim outliers. Compute log_wage = log(w).</w:t>
      </w:r>
    </w:p>
    <w:p>
      <w:r>
        <w:rPr>
          <w:rFonts w:ascii="Arial" w:cs="Arial" w:eastAsia="Arial" w:hAnsi="Arial"/>
          <w:b/>
          <w:bCs/>
          <w:sz w:val="22"/>
          <w:szCs w:val="22"/>
        </w:rPr>
        <w:t xml:space="preserve">Step 2. </w:t>
      </w:r>
      <w:r>
        <w:rPr>
          <w:rFonts w:ascii="Arial" w:cs="Arial" w:eastAsia="Arial" w:hAnsi="Arial"/>
          <w:sz w:val="22"/>
          <w:szCs w:val="22"/>
        </w:rPr>
        <w:t xml:space="preserve">Merge industry codes. Your occ_ind_data.dta already has ind_broad for 1979–1993. Merge by taxsimid and year.</w:t>
      </w:r>
    </w:p>
    <w:p>
      <w:r>
        <w:rPr>
          <w:rFonts w:ascii="Arial" w:cs="Arial" w:eastAsia="Arial" w:hAnsi="Arial"/>
          <w:b/>
          <w:bCs/>
          <w:sz w:val="22"/>
          <w:szCs w:val="22"/>
        </w:rPr>
        <w:t xml:space="preserve">Step 3. </w:t>
      </w:r>
      <w:r>
        <w:rPr>
          <w:rFonts w:ascii="Arial" w:cs="Arial" w:eastAsia="Arial" w:hAnsi="Arial"/>
          <w:sz w:val="22"/>
          <w:szCs w:val="22"/>
        </w:rPr>
        <w:t xml:space="preserve">Construct 3-year leads. By taxsimid (sorted by year): gen log_wage_t3 = log_wage[_n+3], gen log_income_t3 = log_income[_n+3], etc. Restrict to pairs where year_t3 − year_t = 3.</w:t>
      </w:r>
    </w:p>
    <w:p>
      <w:r>
        <w:rPr>
          <w:rFonts w:ascii="Arial" w:cs="Arial" w:eastAsia="Arial" w:hAnsi="Arial"/>
          <w:b/>
          <w:bCs/>
          <w:sz w:val="22"/>
          <w:szCs w:val="22"/>
        </w:rPr>
        <w:t xml:space="preserve">Step 4. </w:t>
      </w:r>
      <w:r>
        <w:rPr>
          <w:rFonts w:ascii="Arial" w:cs="Arial" w:eastAsia="Arial" w:hAnsi="Arial"/>
          <w:sz w:val="22"/>
          <w:szCs w:val="22"/>
        </w:rPr>
        <w:t xml:space="preserve">Construct the leave-one-out instrument. For each individual i in base year t: (a) identify cohort C(i,t) = all others with same ind_broad in year t, (b) compute sum of pwages and sum of hours for the cohort at t and at t+3, (c) LOO instrument = log(cohort_earnings_t3 / cohort_hours_t3) − log(cohort_earnings_t / cohort_hours_t). This requires a bysort + egen approach in Stata.</w:t>
      </w:r>
    </w:p>
    <w:p>
      <w:r>
        <w:rPr>
          <w:rFonts w:ascii="Arial" w:cs="Arial" w:eastAsia="Arial" w:hAnsi="Arial"/>
          <w:b/>
          <w:bCs/>
          <w:sz w:val="22"/>
          <w:szCs w:val="22"/>
        </w:rPr>
        <w:t xml:space="preserve">Step 5. </w:t>
      </w:r>
      <w:r>
        <w:rPr>
          <w:rFonts w:ascii="Arial" w:cs="Arial" w:eastAsia="Arial" w:hAnsi="Arial"/>
          <w:sz w:val="22"/>
          <w:szCs w:val="22"/>
        </w:rPr>
        <w:t xml:space="preserve">Apply sample restrictions. Same as your existing tax elasticity pipeline: income floor, marital stability, valid wages at both endpoints, valid instrument.</w:t>
      </w:r>
    </w:p>
    <w:p>
      <w:r>
        <w:rPr>
          <w:rFonts w:ascii="Arial" w:cs="Arial" w:eastAsia="Arial" w:hAnsi="Arial"/>
          <w:b/>
          <w:bCs/>
          <w:sz w:val="22"/>
          <w:szCs w:val="22"/>
        </w:rPr>
        <w:t xml:space="preserve">Step 6. </w:t>
      </w:r>
      <w:r>
        <w:rPr>
          <w:rFonts w:ascii="Arial" w:cs="Arial" w:eastAsia="Arial" w:hAnsi="Arial"/>
          <w:sz w:val="22"/>
          <w:szCs w:val="22"/>
        </w:rPr>
        <w:t xml:space="preserve">Run regressions. OLS: regress Δlog_income on Δlog_wage + controls. 2SLS: ivregress 2sls Δlog_income (Δlog_wage = LOO_instrument) + controls, cluster(taxsimid).</w:t>
      </w:r>
    </w:p>
    <w:p>
      <w:pPr>
        <w:spacing w:after="100"/>
      </w:pPr>
    </w:p>
    <w:p>
      <w:pPr>
        <w:pStyle w:val="Heading2"/>
      </w:pPr>
      <w:r>
        <w:rPr>
          <w:rFonts w:ascii="Arial" w:cs="Arial" w:eastAsia="Arial" w:hAnsi="Arial"/>
          <w:b/>
          <w:bCs/>
          <w:sz w:val="28"/>
          <w:szCs w:val="28"/>
        </w:rPr>
        <w:t xml:space="preserve">Priority 2: Joint Tax + Wage Elasticity Comparison [HIGH VALUE, LOW EFFORT]</w:t>
      </w:r>
    </w:p>
    <w:p>
      <w:r>
        <w:rPr>
          <w:rFonts w:ascii="Arial" w:cs="Arial" w:eastAsia="Arial" w:hAnsi="Arial"/>
          <w:sz w:val="22"/>
          <w:szCs w:val="22"/>
        </w:rPr>
        <w:t xml:space="preserve">Once both regressions are estimated on the same sample, compare the two elasticities. This is the first step toward the paper’s sorting mechanism.</w:t>
      </w:r>
    </w:p>
    <w:p>
      <w:pPr>
        <w:pStyle w:val="Heading3"/>
      </w:pPr>
      <w:r>
        <w:rPr>
          <w:rFonts w:ascii="Arial" w:cs="Arial" w:eastAsia="Arial" w:hAnsi="Arial"/>
          <w:b/>
          <w:bCs/>
          <w:sz w:val="24"/>
          <w:szCs w:val="24"/>
        </w:rPr>
        <w:t xml:space="preserve">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sz w:val="20"/>
                <w:szCs w:val="20"/>
              </w:rPr>
              <w:t xml:space="preserve">Element</w:t>
            </w:r>
          </w:p>
        </w:tc>
        <w:tc>
          <w:tcPr>
            <w:tcW w:type="dxa" w:w="65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sz w:val="20"/>
                <w:szCs w:val="20"/>
              </w:rPr>
              <w:t xml:space="preserve">Specification</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Sample</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Intersection of tax elasticity and wage elasticity analysis samples (annual period, valid instrument for both)</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Output</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Side-by-side table: tax elasticity ζ vs. wage elasticity ε_w. Theory predicts ε_w ≈ 1 + ζ in the baseline model without tax avoidance.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Validation</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If ε_w &gt;&gt; 1 + ζ, this suggests tax avoidance/evasion channel (Section 4 of paper). If ε_w ≈ 1 + ζ, the simpler model applies.</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Required data construction</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None beyond Priorities 1 and existing tax elasticity</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Identification risks</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Different instruments identify different local effects; comparison is suggestive, not definitive</w:t>
            </w:r>
          </w:p>
        </w:tc>
      </w:tr>
    </w:tbl>
    <w:p>
      <w:pPr>
        <w:spacing w:after="100"/>
      </w:pPr>
    </w:p>
    <w:p>
      <w:pPr>
        <w:pStyle w:val="Heading2"/>
      </w:pPr>
      <w:r>
        <w:rPr>
          <w:rFonts w:ascii="Arial" w:cs="Arial" w:eastAsia="Arial" w:hAnsi="Arial"/>
          <w:b/>
          <w:bCs/>
          <w:sz w:val="28"/>
          <w:szCs w:val="28"/>
        </w:rPr>
        <w:t xml:space="preserve">Priority 3: Heterogeneous Elasticities via GRF [MEDIUM VALUE, HIGH EFFORT]</w:t>
      </w:r>
    </w:p>
    <w:p>
      <w:r>
        <w:rPr>
          <w:rFonts w:ascii="Arial" w:cs="Arial" w:eastAsia="Arial" w:hAnsi="Arial"/>
          <w:sz w:val="22"/>
          <w:szCs w:val="22"/>
        </w:rPr>
        <w:t xml:space="preserve">This requires switching to R for the grf package. The payoff is individual-level elasticity predictions that enable the correlation analysis.</w:t>
      </w:r>
    </w:p>
    <w:p>
      <w:pPr>
        <w:pStyle w:val="Heading3"/>
      </w:pPr>
      <w:r>
        <w:rPr>
          <w:rFonts w:ascii="Arial" w:cs="Arial" w:eastAsia="Arial" w:hAnsi="Arial"/>
          <w:b/>
          <w:bCs/>
          <w:sz w:val="24"/>
          <w:szCs w:val="24"/>
        </w:rPr>
        <w:t xml:space="preserve">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sz w:val="20"/>
                <w:szCs w:val="20"/>
              </w:rPr>
              <w:t xml:space="preserve">Element</w:t>
            </w:r>
          </w:p>
        </w:tc>
        <w:tc>
          <w:tcPr>
            <w:tcW w:type="dxa" w:w="358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sz w:val="20"/>
                <w:szCs w:val="20"/>
              </w:rPr>
              <w:t xml:space="preserve">Tax Elasticity Forest</w:t>
            </w:r>
          </w:p>
        </w:tc>
        <w:tc>
          <w:tcPr>
            <w:tcW w:type="dxa" w:w="358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sz w:val="20"/>
                <w:szCs w:val="20"/>
              </w:rPr>
              <w:t xml:space="preserve">Wage Elasticity Forest</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Y (outcome)</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Δlog(z_{i,t+3})</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Δlog(z_{i,t+3})</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W (treatment)</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Δlog(1−T′)_{i,t+3}</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Δlog(w_{i,t+3})</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Z (instrument)</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Simulated Δlog(1−T′)</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LOO industry wage change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X (covariates)</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sex, mstat, depx, hgc, page, occ_broad, ind_broad, taxable_income, mtr, psemp, mortgage, rent, proptax</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Same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Centering</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Residualize Y, W, Z on: mstat, year FE, 10-piece income splines</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Same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R function</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instrumental_forest(X, Y, W, Z, ...)</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Same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Output</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β̂_i = predict(forest)$predictions</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ε̂_{w,i} = predict(forest)$predictions</w:t>
            </w:r>
          </w:p>
        </w:tc>
      </w:tr>
    </w:tbl>
    <w:p>
      <w:pPr>
        <w:spacing w:after="100"/>
      </w:pPr>
    </w:p>
    <w:p>
      <w:pPr>
        <w:pStyle w:val="Heading3"/>
      </w:pPr>
      <w:r>
        <w:rPr>
          <w:rFonts w:ascii="Arial" w:cs="Arial" w:eastAsia="Arial" w:hAnsi="Arial"/>
          <w:b/>
          <w:bCs/>
          <w:sz w:val="24"/>
          <w:szCs w:val="24"/>
        </w:rPr>
        <w:t xml:space="preserve">Implementation Steps</w:t>
      </w:r>
    </w:p>
    <w:p>
      <w:r>
        <w:rPr>
          <w:rFonts w:ascii="Arial" w:cs="Arial" w:eastAsia="Arial" w:hAnsi="Arial"/>
          <w:b/>
          <w:bCs/>
          <w:sz w:val="22"/>
          <w:szCs w:val="22"/>
        </w:rPr>
        <w:t xml:space="preserve">Step 1. </w:t>
      </w:r>
      <w:r>
        <w:rPr>
          <w:rFonts w:ascii="Arial" w:cs="Arial" w:eastAsia="Arial" w:hAnsi="Arial"/>
          <w:sz w:val="22"/>
          <w:szCs w:val="22"/>
        </w:rPr>
        <w:t xml:space="preserve">Export analysis dataset from Stata to CSV: keep taxsimid year and all required variables. Write to analysis_for_grf.csv.</w:t>
      </w:r>
    </w:p>
    <w:p>
      <w:r>
        <w:rPr>
          <w:rFonts w:ascii="Arial" w:cs="Arial" w:eastAsia="Arial" w:hAnsi="Arial"/>
          <w:b/>
          <w:bCs/>
          <w:sz w:val="22"/>
          <w:szCs w:val="22"/>
        </w:rPr>
        <w:t xml:space="preserve">Step 2. </w:t>
      </w:r>
      <w:r>
        <w:rPr>
          <w:rFonts w:ascii="Arial" w:cs="Arial" w:eastAsia="Arial" w:hAnsi="Arial"/>
          <w:sz w:val="22"/>
          <w:szCs w:val="22"/>
        </w:rPr>
        <w:t xml:space="preserve">In R: install.packages(‘grf’). Load data. Residualize Y, W, Z using lm() on marital status + year dummies + income splines. Extract residuals.</w:t>
      </w:r>
    </w:p>
    <w:p>
      <w:r>
        <w:rPr>
          <w:rFonts w:ascii="Arial" w:cs="Arial" w:eastAsia="Arial" w:hAnsi="Arial"/>
          <w:b/>
          <w:bCs/>
          <w:sz w:val="22"/>
          <w:szCs w:val="22"/>
        </w:rPr>
        <w:t xml:space="preserve">Step 3. </w:t>
      </w:r>
      <w:r>
        <w:rPr>
          <w:rFonts w:ascii="Arial" w:cs="Arial" w:eastAsia="Arial" w:hAnsi="Arial"/>
          <w:sz w:val="22"/>
          <w:szCs w:val="22"/>
        </w:rPr>
        <w:t xml:space="preserve">Run instrumental_forest() twice (tax, wage). Set num.trees = 2000, min.node.size = 20 (or tune via tune_forest). Extract predictions and variable importance.</w:t>
      </w:r>
    </w:p>
    <w:p>
      <w:r>
        <w:rPr>
          <w:rFonts w:ascii="Arial" w:cs="Arial" w:eastAsia="Arial" w:hAnsi="Arial"/>
          <w:b/>
          <w:bCs/>
          <w:sz w:val="22"/>
          <w:szCs w:val="22"/>
        </w:rPr>
        <w:t xml:space="preserve">Step 4. </w:t>
      </w:r>
      <w:r>
        <w:rPr>
          <w:rFonts w:ascii="Arial" w:cs="Arial" w:eastAsia="Arial" w:hAnsi="Arial"/>
          <w:sz w:val="22"/>
          <w:szCs w:val="22"/>
        </w:rPr>
        <w:t xml:space="preserve">Export predictions back to CSV. Merge into Stata for correlation analysis.</w:t>
      </w:r>
    </w:p>
    <w:p>
      <w:r>
        <w:rPr>
          <w:rFonts w:ascii="Arial" w:cs="Arial" w:eastAsia="Arial" w:hAnsi="Arial"/>
          <w:b/>
          <w:bCs/>
          <w:sz w:val="22"/>
          <w:szCs w:val="22"/>
        </w:rPr>
        <w:t xml:space="preserve">Step 5. </w:t>
      </w:r>
      <w:r>
        <w:rPr>
          <w:rFonts w:ascii="Arial" w:cs="Arial" w:eastAsia="Arial" w:hAnsi="Arial"/>
          <w:sz w:val="22"/>
          <w:szCs w:val="22"/>
        </w:rPr>
        <w:t xml:space="preserve">Produce Figure 4 analog: heatmap of predicted tax vs. wage elasticities.</w:t>
      </w:r>
    </w:p>
    <w:p>
      <w:r>
        <w:rPr>
          <w:rFonts w:ascii="Arial" w:cs="Arial" w:eastAsia="Arial" w:hAnsi="Arial"/>
          <w:b/>
          <w:bCs/>
          <w:sz w:val="22"/>
          <w:szCs w:val="22"/>
        </w:rPr>
        <w:t xml:space="preserve">Validation: </w:t>
      </w:r>
      <w:r>
        <w:rPr>
          <w:rFonts w:ascii="Arial" w:cs="Arial" w:eastAsia="Arial" w:hAnsi="Arial"/>
          <w:sz w:val="22"/>
          <w:szCs w:val="22"/>
        </w:rPr>
        <w:t xml:space="preserve">(1) Variable importance plot (Figure 7 analog). (2) Check that predicted elasticities are broadly positive. (3) Average predicted tax elasticity should be close to your 2SLS point estimate. (4) Test calibration using out-of-bag predictions.</w:t>
      </w:r>
    </w:p>
    <w:p>
      <w:pPr>
        <w:spacing w:after="100"/>
      </w:pPr>
    </w:p>
    <w:p>
      <w:pPr>
        <w:pStyle w:val="Heading2"/>
      </w:pPr>
      <w:r>
        <w:rPr>
          <w:rFonts w:ascii="Arial" w:cs="Arial" w:eastAsia="Arial" w:hAnsi="Arial"/>
          <w:b/>
          <w:bCs/>
          <w:sz w:val="28"/>
          <w:szCs w:val="28"/>
        </w:rPr>
        <w:t xml:space="preserve">Priority 4: Income-Conditional Correlation [MEDIUM VALUE, MODERATE EFFORT]</w:t>
      </w:r>
    </w:p>
    <w:p>
      <w:r>
        <w:rPr>
          <w:rFonts w:ascii="Arial" w:cs="Arial" w:eastAsia="Arial" w:hAnsi="Arial"/>
          <w:sz w:val="22"/>
          <w:szCs w:val="22"/>
        </w:rPr>
        <w:t xml:space="preserve">Conditional on completing Priority 3, this is a straightforward statistical exercise.</w:t>
      </w:r>
    </w:p>
    <w:p>
      <w:pPr>
        <w:pStyle w:val="Heading3"/>
      </w:pPr>
      <w:r>
        <w:rPr>
          <w:rFonts w:ascii="Arial" w:cs="Arial" w:eastAsia="Arial" w:hAnsi="Arial"/>
          <w:b/>
          <w:bCs/>
          <w:sz w:val="24"/>
          <w:szCs w:val="24"/>
        </w:rPr>
        <w:t xml:space="preserve">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sz w:val="20"/>
                <w:szCs w:val="20"/>
              </w:rPr>
              <w:t xml:space="preserve">Element</w:t>
            </w:r>
          </w:p>
        </w:tc>
        <w:tc>
          <w:tcPr>
            <w:tcW w:type="dxa" w:w="65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sz w:val="20"/>
                <w:szCs w:val="20"/>
              </w:rPr>
              <w:t xml:space="preserve">Specification</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Dependent variables</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Predicted elasticities β̂_{i,t} and ε̂_{w,i,t} from GRF</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Running variable</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Year-demeaned log income: z̃ = log(z) − E[log(z) | year]</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Bandwidth</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0.2 (following paper)</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Method</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Local linear regression (locpoly in R, or lpoly in Stata)</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Bootstrap</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300 reps (redraw data, re-run full GRF + local regressions)</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Output</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Figure 5 analog: ψ̂(z) across income percentiles with 95% CIs. Scalar estimate ψ̂ (average correlation).</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Validation</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Check that CIs don’t include zero (paper rejects zero at all income levels)</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Identification risks</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GRF prediction noise inflates measured correlation if both forests pick up same covariates. Bootstrap partially addresses this.</w:t>
            </w:r>
          </w:p>
        </w:tc>
      </w:tr>
    </w:tbl>
    <w:p>
      <w:pPr>
        <w:spacing w:after="100"/>
      </w:pPr>
    </w:p>
    <w:p>
      <w:pPr>
        <w:pStyle w:val="Heading2"/>
      </w:pPr>
      <w:r>
        <w:rPr>
          <w:rFonts w:ascii="Arial" w:cs="Arial" w:eastAsia="Arial" w:hAnsi="Arial"/>
          <w:b/>
          <w:bCs/>
          <w:sz w:val="28"/>
          <w:szCs w:val="28"/>
        </w:rPr>
        <w:t xml:space="preserve">Priority 5: Back-of-Envelope Quantification [LOW STANDALONE VALUE, LOW EFFORT]</w:t>
      </w:r>
    </w:p>
    <w:p>
      <w:r>
        <w:rPr>
          <w:rFonts w:ascii="Arial" w:cs="Arial" w:eastAsia="Arial" w:hAnsi="Arial"/>
          <w:sz w:val="22"/>
          <w:szCs w:val="22"/>
        </w:rPr>
        <w:t xml:space="preserve">If you produce your own correlation estimate from NLSY, you can plug it into the paper’s formula (Eq. 40) alongside published inputs to get an NLSY-based estimate of the change in cost of redistribution. This is a simple calculation, not a new empirical exercise.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sz w:val="20"/>
                <w:szCs w:val="20"/>
              </w:rPr>
              <w:t xml:space="preserve">Input</w:t>
            </w:r>
          </w:p>
        </w:tc>
        <w:tc>
          <w:tcPr>
            <w:tcW w:type="dxa" w:w="3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sz w:val="20"/>
                <w:szCs w:val="20"/>
              </w:rPr>
              <w:t xml:space="preserve">Source</w:t>
            </w:r>
          </w:p>
        </w:tc>
        <w:tc>
          <w:tcPr>
            <w:tcW w:type="dxa" w:w="29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sz w:val="20"/>
                <w:szCs w:val="20"/>
              </w:rPr>
              <w:t xml:space="preserve">Your Value</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Productivity growth (log)</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Published: Bivens et al. (2014) or CPS/WID</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Use same as paper: log(1.167) for 95–99th pctile</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α̃ (second-order Pareto shape)</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Published: WID</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1.70 (paper’s value)</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Var(ε) (within-income ETI variance)</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Your GRF estimates or Becko-Sztutman (2024)</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≥0.25 (lower bound from B-S)</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Mean ETI at top</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Your 2SLS or literature</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0.3 (paper’s value) or your biennial estimate</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Correlation ψ</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Your Priority 4 estimate</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Your estimate (paper: 0.6)</w:t>
            </w:r>
          </w:p>
        </w:tc>
      </w:tr>
    </w:tbl>
    <w:p>
      <w:r>
        <w:br w:type="page"/>
      </w:r>
    </w:p>
    <w:p>
      <w:pPr>
        <w:pStyle w:val="Heading1"/>
      </w:pPr>
      <w:r>
        <w:rPr>
          <w:rFonts w:ascii="Arial" w:cs="Arial" w:eastAsia="Arial" w:hAnsi="Arial"/>
          <w:b/>
          <w:bCs/>
          <w:sz w:val="32"/>
          <w:szCs w:val="32"/>
        </w:rPr>
        <w:t xml:space="preserve">Part 5: Variable Gap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600"/>
        <w:gridCol w:w="2560"/>
      </w:tblGrid>
      <w:tr>
        <w:tc>
          <w:tcPr>
            <w:tcW w:type="dxa" w:w="2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sz w:val="20"/>
                <w:szCs w:val="20"/>
              </w:rPr>
              <w:t xml:space="preserve">Paper Variable</w:t>
            </w:r>
          </w:p>
        </w:tc>
        <w:tc>
          <w:tcPr>
            <w:tcW w:type="dxa" w:w="2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sz w:val="20"/>
                <w:szCs w:val="20"/>
              </w:rPr>
              <w:t xml:space="preserve">Your NLSY Equivalent</w:t>
            </w:r>
          </w:p>
        </w:tc>
        <w:tc>
          <w:tcPr>
            <w:tcW w:type="dxa" w:w="16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sz w:val="20"/>
                <w:szCs w:val="20"/>
              </w:rPr>
              <w:t xml:space="preserve">Status</w:t>
            </w:r>
          </w:p>
        </w:tc>
        <w:tc>
          <w:tcPr>
            <w:tcW w:type="dxa" w:w="25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sz w:val="20"/>
                <w:szCs w:val="20"/>
              </w:rPr>
              <w:t xml:space="preserve">Action Required</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Taxable income (z)</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Broad income (pwages + swages + div + int + pens + UI + bus + prop + nonprop)</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Ready</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Already constructed</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Marginal tax rate (T′)</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frate + srate from TAXSIM</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Ready</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Already constructed</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Simulated MTR instrument</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Counterfactual TAXSIM at t−3 income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Ready</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Already constructed</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Hourly wage (w)</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pwages / annual_hours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Needs construction</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Compute from existing vars; trim outliers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Industry (for LOO instrument)</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ind_broad (1970 Census, 12 categories)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Ready (1979–1993)</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Already have broad codes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LOO wage instrument</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Not yet built</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Needs construction</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Build from industry cohorts; Priority 1, Step 4</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Sex</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sex</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Ready</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Marital status</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mstat</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Ready</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Number of dependents</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depx</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Ready</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Education</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hgc (highest grade completed)</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Ready</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Age</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page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Ready</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Years at current job</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Not directly available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Needs investigation</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Check NLSY tenure variables; may be derivable</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Occupation category</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occ_broad (9 categories)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Ready (1979–1993)</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Self-employment income</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psemp</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Ready</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In your TAXSIM inputs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Mortgage interest</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mortgage (TAXSIM input)</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Ready</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Rent paid</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rentpaid (TAXSIM input)</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Ready</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Property tax</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proptax (TAXSIM input)</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Ready</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May have missing values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State of residence</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state (FIPS)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Ready</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For state-year FE if feasible</w:t>
            </w:r>
          </w:p>
        </w:tc>
      </w:tr>
    </w:tbl>
    <w:p>
      <w:r>
        <w:br w:type="page"/>
      </w:r>
    </w:p>
    <w:p>
      <w:pPr>
        <w:pStyle w:val="Heading1"/>
      </w:pPr>
      <w:r>
        <w:rPr>
          <w:rFonts w:ascii="Arial" w:cs="Arial" w:eastAsia="Arial" w:hAnsi="Arial"/>
          <w:b/>
          <w:bCs/>
          <w:sz w:val="32"/>
          <w:szCs w:val="32"/>
        </w:rPr>
        <w:t xml:space="preserve">Part 6: Risks and Recommendations</w:t>
      </w:r>
    </w:p>
    <w:p>
      <w:pPr>
        <w:pStyle w:val="Heading2"/>
      </w:pPr>
      <w:r>
        <w:rPr>
          <w:rFonts w:ascii="Arial" w:cs="Arial" w:eastAsia="Arial" w:hAnsi="Arial"/>
          <w:b/>
          <w:bCs/>
          <w:sz w:val="28"/>
          <w:szCs w:val="28"/>
        </w:rPr>
        <w:t xml:space="preserve">6.1 Identification Risks Specific to NLSY</w:t>
      </w:r>
    </w:p>
    <w:p>
      <w:r>
        <w:rPr>
          <w:rFonts w:ascii="Arial" w:cs="Arial" w:eastAsia="Arial" w:hAnsi="Arial"/>
          <w:b/>
          <w:bCs/>
          <w:sz w:val="22"/>
          <w:szCs w:val="22"/>
        </w:rPr>
        <w:t xml:space="preserve">Single-cohort confounding. </w:t>
      </w:r>
      <w:r>
        <w:rPr>
          <w:rFonts w:ascii="Arial" w:cs="Arial" w:eastAsia="Arial" w:hAnsi="Arial"/>
          <w:sz w:val="22"/>
          <w:szCs w:val="22"/>
        </w:rPr>
        <w:t xml:space="preserve">NLSY79 tracks one birth cohort (born 1957–1964). All individuals age together, so age effects, period effects, and cohort effects are perfectly confounded. The paper’s SIPP data has multiple cohorts, which helps separate these. For your wage elasticity, this means any industry-wide productivity shock that correlates with the cohort’s life-cycle stage could bias estimates. Year FE help but don’t fully resolve this.</w:t>
      </w:r>
    </w:p>
    <w:p>
      <w:r>
        <w:rPr>
          <w:rFonts w:ascii="Arial" w:cs="Arial" w:eastAsia="Arial" w:hAnsi="Arial"/>
          <w:b/>
          <w:bCs/>
          <w:sz w:val="22"/>
          <w:szCs w:val="22"/>
        </w:rPr>
        <w:t xml:space="preserve">Industry cell sizes. </w:t>
      </w:r>
      <w:r>
        <w:rPr>
          <w:rFonts w:ascii="Arial" w:cs="Arial" w:eastAsia="Arial" w:hAnsi="Arial"/>
          <w:sz w:val="22"/>
          <w:szCs w:val="22"/>
        </w:rPr>
        <w:t xml:space="preserve">With ~12,686 individuals split across 12 broad industries, some industry-year cells may have fewer than 50 workers. The LOO instrument becomes noisy with small cells. Recommendation: report industry cell size distributions and consider collapsing to fewer industry groups (e.g., 6–8) if cells are too small.</w:t>
      </w:r>
    </w:p>
    <w:p>
      <w:r>
        <w:rPr>
          <w:rFonts w:ascii="Arial" w:cs="Arial" w:eastAsia="Arial" w:hAnsi="Arial"/>
          <w:b/>
          <w:bCs/>
          <w:sz w:val="22"/>
          <w:szCs w:val="22"/>
        </w:rPr>
        <w:t xml:space="preserve">Hours measurement error. </w:t>
      </w:r>
      <w:r>
        <w:rPr>
          <w:rFonts w:ascii="Arial" w:cs="Arial" w:eastAsia="Arial" w:hAnsi="Arial"/>
          <w:sz w:val="22"/>
          <w:szCs w:val="22"/>
        </w:rPr>
        <w:t xml:space="preserve">NLSY hours are self-reported. Measurement error in hours contaminates both the hourly wage variable (denominator bias) and the LOO instrument (if others’ hours are also noisy). This typically attenuates 2SLS estimates. IV may partially address this if the instrument averages over many individuals.</w:t>
      </w:r>
    </w:p>
    <w:p>
      <w:r>
        <w:rPr>
          <w:rFonts w:ascii="Arial" w:cs="Arial" w:eastAsia="Arial" w:hAnsi="Arial"/>
          <w:b/>
          <w:bCs/>
          <w:sz w:val="22"/>
          <w:szCs w:val="22"/>
        </w:rPr>
        <w:t xml:space="preserve">Biennial gap. </w:t>
      </w:r>
      <w:r>
        <w:rPr>
          <w:rFonts w:ascii="Arial" w:cs="Arial" w:eastAsia="Arial" w:hAnsi="Arial"/>
          <w:sz w:val="22"/>
          <w:szCs w:val="22"/>
        </w:rPr>
        <w:t xml:space="preserve">For the annual period (1979–1993), 3-year lags work cleanly. For the biennial period (1995+), you cannot do 3-year lags—you would need 2-year or 4-year. The paper uses SIPP through 2013 with consecutive annual data. Recommendation: focus the wage elasticity on the annual period where you have both consecutive observations and industry codes.</w:t>
      </w:r>
    </w:p>
    <w:p>
      <w:pPr>
        <w:pStyle w:val="Heading2"/>
      </w:pPr>
      <w:r>
        <w:rPr>
          <w:rFonts w:ascii="Arial" w:cs="Arial" w:eastAsia="Arial" w:hAnsi="Arial"/>
          <w:b/>
          <w:bCs/>
          <w:sz w:val="28"/>
          <w:szCs w:val="28"/>
        </w:rPr>
        <w:t xml:space="preserve">6.2 Strategic Recommendations</w:t>
      </w:r>
    </w:p>
    <w:p>
      <w:r>
        <w:rPr>
          <w:rFonts w:ascii="Arial" w:cs="Arial" w:eastAsia="Arial" w:hAnsi="Arial"/>
          <w:b/>
          <w:bCs/>
          <w:sz w:val="22"/>
          <w:szCs w:val="22"/>
        </w:rPr>
        <w:t xml:space="preserve">1. Start with Priority 1 (wage elasticity) immediately. </w:t>
      </w:r>
      <w:r>
        <w:rPr>
          <w:rFonts w:ascii="Arial" w:cs="Arial" w:eastAsia="Arial" w:hAnsi="Arial"/>
          <w:sz w:val="22"/>
          <w:szCs w:val="22"/>
        </w:rPr>
        <w:t xml:space="preserve">This is implementable entirely in Stata with your existing data. It gives you a complete new result within a few days. The comparison of tax vs. wage elasticities on the same sample is novel with NLSY data.</w:t>
      </w:r>
    </w:p>
    <w:p>
      <w:r>
        <w:rPr>
          <w:rFonts w:ascii="Arial" w:cs="Arial" w:eastAsia="Arial" w:hAnsi="Arial"/>
          <w:b/>
          <w:bCs/>
          <w:sz w:val="22"/>
          <w:szCs w:val="22"/>
        </w:rPr>
        <w:t xml:space="preserve">2. Discuss GRF feasibility with Professor Sztutman before investing in Priorities 3–4. </w:t>
      </w:r>
      <w:r>
        <w:rPr>
          <w:rFonts w:ascii="Arial" w:cs="Arial" w:eastAsia="Arial" w:hAnsi="Arial"/>
          <w:sz w:val="22"/>
          <w:szCs w:val="22"/>
        </w:rPr>
        <w:t xml:space="preserve">The instrumental forest step requires R, is computationally expensive (bootstrap of 300 GRF runs), and may not be the best use of your time before graduation if the wage elasticity comparison alone provides a good contribution.</w:t>
      </w:r>
    </w:p>
    <w:p>
      <w:r>
        <w:rPr>
          <w:rFonts w:ascii="Arial" w:cs="Arial" w:eastAsia="Arial" w:hAnsi="Arial"/>
          <w:b/>
          <w:bCs/>
          <w:sz w:val="22"/>
          <w:szCs w:val="22"/>
        </w:rPr>
        <w:t xml:space="preserve">3. Frame your contribution carefully. </w:t>
      </w:r>
      <w:r>
        <w:rPr>
          <w:rFonts w:ascii="Arial" w:cs="Arial" w:eastAsia="Arial" w:hAnsi="Arial"/>
          <w:sz w:val="22"/>
          <w:szCs w:val="22"/>
        </w:rPr>
        <w:t xml:space="preserve">Your NLSY project isn’t replicating Becko-Sztutman-Xia; it’s extending their framework to a longitudinal setting that tracks the same individuals over their careers. This is complementary to their SIPP results and valuable precisely because of the single-cohort design: you can study how elasticities evolve within individuals over the life cycle, which they cannot.</w:t>
      </w:r>
    </w:p>
    <w:p>
      <w:r>
        <w:rPr>
          <w:rFonts w:ascii="Arial" w:cs="Arial" w:eastAsia="Arial" w:hAnsi="Arial"/>
          <w:b/>
          <w:bCs/>
          <w:sz w:val="22"/>
          <w:szCs w:val="22"/>
        </w:rPr>
        <w:t xml:space="preserve">4. Your existing biennial ETI of 0.54 is potentially informative for the sorting mechanism. </w:t>
      </w:r>
      <w:r>
        <w:rPr>
          <w:rFonts w:ascii="Arial" w:cs="Arial" w:eastAsia="Arial" w:hAnsi="Arial"/>
          <w:sz w:val="22"/>
          <w:szCs w:val="22"/>
        </w:rPr>
        <w:t xml:space="preserve">If ETIs at the top really have risen over time (as the paper’s theory predicts), your finding that prime-age ETI &gt; young-worker ETI is consistent with this—the same cohort shows higher elasticities as they age into higher incomes. This is a life-cycle version of the paper’s cross-sectional sorting story.</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375F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2026-03-10T23:36:52.548Z</dcterms:created>
  <dcterms:modified xsi:type="dcterms:W3CDTF">2026-03-10T23:36:52.549Z</dcterms:modified>
</cp:coreProperties>
</file>

<file path=docProps/custom.xml><?xml version="1.0" encoding="utf-8"?>
<Properties xmlns="http://schemas.openxmlformats.org/officeDocument/2006/custom-properties" xmlns:vt="http://schemas.openxmlformats.org/officeDocument/2006/docPropsVTypes"/>
</file>