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Implementation Memo (Revised)</w:t>
      </w:r>
    </w:p>
    <w:p>
      <w:pPr>
        <w:spacing w:after="100"/>
        <w:jc w:val="center"/>
      </w:pPr>
      <w:r>
        <w:rPr>
          <w:rFonts w:ascii="Arial" w:cs="Arial" w:eastAsia="Arial" w:hAnsi="Arial"/>
          <w:sz w:val="28"/>
          <w:szCs w:val="28"/>
        </w:rPr>
        <w:t xml:space="preserve">Adapting Becko, Sztutman &amp; Xia (2024) to NLSY79 Project</w:t>
      </w:r>
    </w:p>
    <w:p>
      <w:pPr>
        <w:spacing w:after="400"/>
        <w:jc w:val="center"/>
      </w:pPr>
      <w:r>
        <w:rPr>
          <w:rFonts w:ascii="Arial" w:cs="Arial" w:eastAsia="Arial" w:hAnsi="Arial"/>
          <w:sz w:val="22"/>
          <w:szCs w:val="22"/>
        </w:rPr>
        <w:t xml:space="preserve">Prepared for Yuhao — March 2026</w:t>
      </w:r>
    </w:p>
    <w:p>
      <w:pPr>
        <w:pStyle w:val="Heading1"/>
      </w:pPr>
      <w:r>
        <w:rPr>
          <w:rFonts w:ascii="Arial" w:cs="Arial" w:eastAsia="Arial" w:hAnsi="Arial"/>
          <w:b/>
          <w:bCs/>
          <w:sz w:val="32"/>
          <w:szCs w:val="32"/>
        </w:rPr>
        <w:t xml:space="preserve">Part 1: The Paper’s Empirical Components</w:t>
      </w:r>
    </w:p>
    <w:p>
      <w:pPr>
        <w:spacing w:after="120"/>
      </w:pPr>
      <w:r>
        <w:rPr>
          <w:rFonts w:ascii="Arial" w:cs="Arial" w:eastAsia="Arial" w:hAnsi="Arial"/>
          <w:sz w:val="22"/>
          <w:szCs w:val="22"/>
        </w:rPr>
        <w:t xml:space="preserve">This section describes exactly what Becko, Sztutman &amp; Xia (BSX) do empirically, without reference to your project. The goal is a precise inventory so we can then assess what transfers and what does not.</w:t>
      </w:r>
    </w:p>
    <w:p>
      <w:pPr>
        <w:pStyle w:val="Heading2"/>
      </w:pPr>
      <w:r>
        <w:rPr>
          <w:rFonts w:ascii="Arial" w:cs="Arial" w:eastAsia="Arial" w:hAnsi="Arial"/>
          <w:b/>
          <w:bCs/>
          <w:sz w:val="28"/>
          <w:szCs w:val="28"/>
        </w:rPr>
        <w:t xml:space="preserve">1.1 Baseline Tax Elasticity Regression (Eq. 29)</w:t>
      </w:r>
    </w:p>
    <w:p>
      <w:pPr>
        <w:spacing w:after="120"/>
      </w:pPr>
      <w:r>
        <w:rPr>
          <w:rFonts w:ascii="Arial" w:cs="Arial" w:eastAsia="Arial" w:hAnsi="Arial"/>
          <w:b/>
          <w:bCs/>
          <w:sz w:val="22"/>
          <w:szCs w:val="22"/>
        </w:rPr>
        <w:t xml:space="preserve">Dependent variable: </w:t>
      </w:r>
      <w:r>
        <w:rPr>
          <w:rFonts w:ascii="Arial" w:cs="Arial" w:eastAsia="Arial" w:hAnsi="Arial"/>
          <w:sz w:val="22"/>
          <w:szCs w:val="22"/>
        </w:rPr>
        <w:t xml:space="preserve">Δlog(z_{i,t+3}), the 3-year change in log taxable income for individual i.</w:t>
      </w:r>
    </w:p>
    <w:p>
      <w:pPr>
        <w:spacing w:after="120"/>
      </w:pPr>
      <w:r>
        <w:rPr>
          <w:rFonts w:ascii="Arial" w:cs="Arial" w:eastAsia="Arial" w:hAnsi="Arial"/>
          <w:b/>
          <w:bCs/>
          <w:sz w:val="22"/>
          <w:szCs w:val="22"/>
        </w:rPr>
        <w:t xml:space="preserve">Key endogenous regressor: </w:t>
      </w:r>
      <w:r>
        <w:rPr>
          <w:rFonts w:ascii="Arial" w:cs="Arial" w:eastAsia="Arial" w:hAnsi="Arial"/>
          <w:sz w:val="22"/>
          <w:szCs w:val="22"/>
        </w:rPr>
        <w:t xml:space="preserve">Δlog(1−T′)_{i,t+3}, the 3-year change in log net-of-tax rate (1 minus marginal tax rate).</w:t>
      </w:r>
    </w:p>
    <w:p>
      <w:pPr>
        <w:spacing w:after="120"/>
      </w:pPr>
      <w:r>
        <w:rPr>
          <w:rFonts w:ascii="Arial" w:cs="Arial" w:eastAsia="Arial" w:hAnsi="Arial"/>
          <w:b/>
          <w:bCs/>
          <w:sz w:val="22"/>
          <w:szCs w:val="22"/>
        </w:rPr>
        <w:t xml:space="preserve">Instrument: </w:t>
      </w:r>
      <w:r>
        <w:rPr>
          <w:rFonts w:ascii="Arial" w:cs="Arial" w:eastAsia="Arial" w:hAnsi="Arial"/>
          <w:sz w:val="22"/>
          <w:szCs w:val="22"/>
        </w:rPr>
        <w:t xml:space="preserve">Simulated Δlog(1−T′)_{i,t+3}. Constructed by running TAXSIM with individual i’s base-year (year t) earnings profile but under year t+3 tax law. The instrument isolates variation in tax rates coming purely from legislative changes, not behavioral responses.</w:t>
      </w:r>
    </w:p>
    <w:p>
      <w:pPr>
        <w:spacing w:after="120"/>
      </w:pPr>
      <w:r>
        <w:rPr>
          <w:rFonts w:ascii="Arial" w:cs="Arial" w:eastAsia="Arial" w:hAnsi="Arial"/>
          <w:b/>
          <w:bCs/>
          <w:sz w:val="22"/>
          <w:szCs w:val="22"/>
        </w:rPr>
        <w:t xml:space="preserve">Controls: </w:t>
      </w:r>
      <w:r>
        <w:rPr>
          <w:rFonts w:ascii="Arial" w:cs="Arial" w:eastAsia="Arial" w:hAnsi="Arial"/>
          <w:sz w:val="22"/>
          <w:szCs w:val="22"/>
        </w:rPr>
        <w:t xml:space="preserve">Year fixed effects (δ_t), married dummy (M_{i,t}), 10-piece linear spline of base-year income (SPLINE_j(z_{i,t})).</w:t>
      </w:r>
    </w:p>
    <w:p>
      <w:pPr>
        <w:spacing w:after="120"/>
      </w:pPr>
      <w:r>
        <w:rPr>
          <w:rFonts w:ascii="Arial" w:cs="Arial" w:eastAsia="Arial" w:hAnsi="Arial"/>
          <w:b/>
          <w:bCs/>
          <w:sz w:val="22"/>
          <w:szCs w:val="22"/>
        </w:rPr>
        <w:t xml:space="preserve">Data source: </w:t>
      </w:r>
      <w:r>
        <w:rPr>
          <w:rFonts w:ascii="Arial" w:cs="Arial" w:eastAsia="Arial" w:hAnsi="Arial"/>
          <w:sz w:val="22"/>
          <w:szCs w:val="22"/>
        </w:rPr>
        <w:t xml:space="preserve">SIPP core panels 2000–2013. SIPP is a rotating panel with multiple age cohorts, relatively large sample sizes within state-year cells, and direct measurement of hourly wages.</w:t>
      </w:r>
    </w:p>
    <w:p>
      <w:pPr>
        <w:spacing w:after="120"/>
      </w:pPr>
      <w:r>
        <w:rPr>
          <w:rFonts w:ascii="Arial" w:cs="Arial" w:eastAsia="Arial" w:hAnsi="Arial"/>
          <w:b/>
          <w:bCs/>
          <w:sz w:val="22"/>
          <w:szCs w:val="22"/>
        </w:rPr>
        <w:t xml:space="preserve">Sample restrictions: </w:t>
      </w:r>
      <w:r>
        <w:rPr>
          <w:rFonts w:ascii="Arial" w:cs="Arial" w:eastAsia="Arial" w:hAnsi="Arial"/>
          <w:sz w:val="22"/>
          <w:szCs w:val="22"/>
        </w:rPr>
        <w:t xml:space="preserve">Taxable income &gt; $5,000 (2008 dollars), stable marital status across the 3-year window, marginal tax rates in [−1, 1], absolute 3-year change in marginal taxes &lt; 0.4. Tax variation comes from both federal and state reforms.</w:t>
      </w:r>
    </w:p>
    <w:p>
      <w:pPr>
        <w:spacing w:after="120"/>
      </w:pPr>
      <w:r>
        <w:rPr>
          <w:rFonts w:ascii="Arial" w:cs="Arial" w:eastAsia="Arial" w:hAnsi="Arial"/>
          <w:b/>
          <w:bCs/>
          <w:sz w:val="22"/>
          <w:szCs w:val="22"/>
        </w:rPr>
        <w:t xml:space="preserve">Taxable income definition: </w:t>
      </w:r>
      <w:r>
        <w:rPr>
          <w:rFonts w:ascii="Arial" w:cs="Arial" w:eastAsia="Arial" w:hAnsi="Arial"/>
          <w:sz w:val="22"/>
          <w:szCs w:val="22"/>
        </w:rPr>
        <w:t xml:space="preserve">Broad income (Gruber-Saez style): labor income + interest + dividends + pensions + UI + business income + property income + non-property income. SIPP lacks exemptions and deductions, so the definition tracks “broad income” in Gruber and Saez (2002).</w:t>
      </w:r>
    </w:p>
    <w:p>
      <w:pPr>
        <w:pStyle w:val="Heading2"/>
      </w:pPr>
      <w:r>
        <w:rPr>
          <w:rFonts w:ascii="Arial" w:cs="Arial" w:eastAsia="Arial" w:hAnsi="Arial"/>
          <w:b/>
          <w:bCs/>
          <w:sz w:val="28"/>
          <w:szCs w:val="28"/>
        </w:rPr>
        <w:t xml:space="preserve">1.2 Baseline Wage/Productivity Elasticity Regression (Eq. 30)</w:t>
      </w:r>
    </w:p>
    <w:p>
      <w:pPr>
        <w:spacing w:after="120"/>
      </w:pPr>
      <w:r>
        <w:rPr>
          <w:rFonts w:ascii="Arial" w:cs="Arial" w:eastAsia="Arial" w:hAnsi="Arial"/>
          <w:b/>
          <w:bCs/>
          <w:sz w:val="22"/>
          <w:szCs w:val="22"/>
        </w:rPr>
        <w:t xml:space="preserve">Dependent variable: </w:t>
      </w:r>
      <w:r>
        <w:rPr>
          <w:rFonts w:ascii="Arial" w:cs="Arial" w:eastAsia="Arial" w:hAnsi="Arial"/>
          <w:sz w:val="22"/>
          <w:szCs w:val="22"/>
        </w:rPr>
        <w:t xml:space="preserve">Δlog(z_{i,t+3}), the same 3-year change in log taxable income. Crucially, the LHS is total taxable income—not hourly wages—because the paper wants to estimate how taxable income responds to exogenous wage shocks, paralleling the tax elasticity regression.</w:t>
      </w:r>
    </w:p>
    <w:p>
      <w:pPr>
        <w:spacing w:after="120"/>
      </w:pPr>
      <w:r>
        <w:rPr>
          <w:rFonts w:ascii="Arial" w:cs="Arial" w:eastAsia="Arial" w:hAnsi="Arial"/>
          <w:b/>
          <w:bCs/>
          <w:sz w:val="22"/>
          <w:szCs w:val="22"/>
        </w:rPr>
        <w:t xml:space="preserve">Key endogenous regressor: </w:t>
      </w:r>
      <w:r>
        <w:rPr>
          <w:rFonts w:ascii="Arial" w:cs="Arial" w:eastAsia="Arial" w:hAnsi="Arial"/>
          <w:sz w:val="22"/>
          <w:szCs w:val="22"/>
        </w:rPr>
        <w:t xml:space="preserve">Δlog(w_{i,t+3}), the 3-year change in log hourly wage for individual i. In SIPP, hourly wages are measured directly from survey questions.</w:t>
      </w:r>
    </w:p>
    <w:p>
      <w:pPr>
        <w:spacing w:after="120"/>
      </w:pPr>
      <w:r>
        <w:rPr>
          <w:rFonts w:ascii="Arial" w:cs="Arial" w:eastAsia="Arial" w:hAnsi="Arial"/>
          <w:b/>
          <w:bCs/>
          <w:sz w:val="22"/>
          <w:szCs w:val="22"/>
        </w:rPr>
        <w:t xml:space="preserve">Instrument: </w:t>
      </w:r>
      <w:r>
        <w:rPr>
          <w:rFonts w:ascii="Arial" w:cs="Arial" w:eastAsia="Arial" w:hAnsi="Arial"/>
          <w:sz w:val="22"/>
          <w:szCs w:val="22"/>
        </w:rPr>
        <w:t xml:space="preserve">Leave-one-out average wage change of other individuals in the same base-year industry cohort. Formally (Eq. 31): Δŵ_{i,t+3} = log(∑_{j≠i} I_{j,t+3} / ∑_{j≠i} H_{j,t+3}) − log(∑_{j≠i} I_{j,t} / ∑_{j≠i} H_{j,t}), where I and H are earnings and hours at the primary job, and the sum runs over all other workers in i’s base-year industry cohort C(i,t). The paper constructs this from individual-level wage changes (not industry aggregates) to avoid compositional bias.</w:t>
      </w:r>
    </w:p>
    <w:p>
      <w:pPr>
        <w:spacing w:after="120"/>
      </w:pPr>
      <w:r>
        <w:rPr>
          <w:rFonts w:ascii="Arial" w:cs="Arial" w:eastAsia="Arial" w:hAnsi="Arial"/>
          <w:b/>
          <w:bCs/>
          <w:sz w:val="22"/>
          <w:szCs w:val="22"/>
        </w:rPr>
        <w:t xml:space="preserve">Controls: </w:t>
      </w:r>
      <w:r>
        <w:rPr>
          <w:rFonts w:ascii="Arial" w:cs="Arial" w:eastAsia="Arial" w:hAnsi="Arial"/>
          <w:sz w:val="22"/>
          <w:szCs w:val="22"/>
        </w:rPr>
        <w:t xml:space="preserve">Same as tax elasticity: year FE, married dummy, 10-piece income splines.</w:t>
      </w:r>
    </w:p>
    <w:p>
      <w:pPr>
        <w:spacing w:after="120"/>
      </w:pPr>
      <w:r>
        <w:rPr>
          <w:rFonts w:ascii="Arial" w:cs="Arial" w:eastAsia="Arial" w:hAnsi="Arial"/>
          <w:b/>
          <w:bCs/>
          <w:sz w:val="22"/>
          <w:szCs w:val="22"/>
        </w:rPr>
        <w:t xml:space="preserve">Identification assumption: </w:t>
      </w:r>
      <w:r>
        <w:rPr>
          <w:rFonts w:ascii="Arial" w:cs="Arial" w:eastAsia="Arial" w:hAnsi="Arial"/>
          <w:sz w:val="22"/>
          <w:szCs w:val="22"/>
        </w:rPr>
        <w:t xml:space="preserve">The paper assumes market-level labor supply shocks are small relative to market-level labor demand shocks, conditional on year fixed effects. Individual labor supply shocks are addressed by the leave-one-out construction, which removes person i’s own hours and earnings from the cohort average. The paper does not claim this instrument is immune to all threats; they acknowledge the assumption explicitly.</w:t>
      </w:r>
    </w:p>
    <w:p>
      <w:pPr>
        <w:spacing w:after="120"/>
      </w:pPr>
      <w:r>
        <w:rPr>
          <w:rFonts w:ascii="Arial" w:cs="Arial" w:eastAsia="Arial" w:hAnsi="Arial"/>
          <w:b/>
          <w:bCs/>
          <w:sz w:val="22"/>
          <w:szCs w:val="22"/>
        </w:rPr>
        <w:t xml:space="preserve">Relationship between wage and tax elasticities: </w:t>
      </w:r>
      <w:r>
        <w:rPr>
          <w:rFonts w:ascii="Arial" w:cs="Arial" w:eastAsia="Arial" w:hAnsi="Arial"/>
          <w:sz w:val="22"/>
          <w:szCs w:val="22"/>
        </w:rPr>
        <w:t xml:space="preserve">In the baseline model without tax avoidance (Section 2), the wage elasticity of taxable income mechanically exceeds the tax elasticity by one, because a wage increase raises post-tax income even without labor supply adjustment. The paper states this relationship (footnote 12, p.17) as a feature of the model, not as a universal empirical prediction. When tax avoidance is present (Section 4), the relationship no longer holds exactly, and the income-conditional covariance of the two elasticities becomes the relevant statistic.</w:t>
      </w:r>
    </w:p>
    <w:p>
      <w:pPr>
        <w:pStyle w:val="Heading2"/>
      </w:pPr>
      <w:r>
        <w:rPr>
          <w:rFonts w:ascii="Arial" w:cs="Arial" w:eastAsia="Arial" w:hAnsi="Arial"/>
          <w:b/>
          <w:bCs/>
          <w:sz w:val="28"/>
          <w:szCs w:val="28"/>
        </w:rPr>
        <w:t xml:space="preserve">1.3 Heterogeneous Elasticity Estimation (Instrumental Forests)</w:t>
      </w:r>
    </w:p>
    <w:p>
      <w:pPr>
        <w:spacing w:after="120"/>
      </w:pPr>
      <w:r>
        <w:rPr>
          <w:rFonts w:ascii="Arial" w:cs="Arial" w:eastAsia="Arial" w:hAnsi="Arial"/>
          <w:sz w:val="22"/>
          <w:szCs w:val="22"/>
        </w:rPr>
        <w:t xml:space="preserve">The paper applies the instrumental forests method from Athey, Tibshirani &amp; Wager (2019) twice—once for tax elasticities β(X_i) and once for wage elasticities ε_w(X_i)—to estimate person-specific elasticities as functions of observable covariates.</w:t>
      </w:r>
    </w:p>
    <w:p>
      <w:pPr>
        <w:spacing w:after="120"/>
      </w:pPr>
      <w:r>
        <w:rPr>
          <w:rFonts w:ascii="Arial" w:cs="Arial" w:eastAsia="Arial" w:hAnsi="Arial"/>
          <w:b/>
          <w:bCs/>
          <w:sz w:val="22"/>
          <w:szCs w:val="22"/>
        </w:rPr>
        <w:t xml:space="preserve">Covariates (X_{i,t}): </w:t>
      </w:r>
      <w:r>
        <w:rPr>
          <w:rFonts w:ascii="Arial" w:cs="Arial" w:eastAsia="Arial" w:hAnsi="Arial"/>
          <w:sz w:val="22"/>
          <w:szCs w:val="22"/>
        </w:rPr>
        <w:t xml:space="preserve">Sex, marital status, number of dependents, education, age, years at current job, occupation category, taxable income, marginal rate, self-employment income, mortgage interest, rent, property tax. All measured at base year.</w:t>
      </w:r>
    </w:p>
    <w:p>
      <w:pPr>
        <w:spacing w:after="120"/>
      </w:pPr>
      <w:r>
        <w:rPr>
          <w:rFonts w:ascii="Arial" w:cs="Arial" w:eastAsia="Arial" w:hAnsi="Arial"/>
          <w:b/>
          <w:bCs/>
          <w:sz w:val="22"/>
          <w:szCs w:val="22"/>
        </w:rPr>
        <w:t xml:space="preserve">Pre-residualization (centering): </w:t>
      </w:r>
      <w:r>
        <w:rPr>
          <w:rFonts w:ascii="Arial" w:cs="Arial" w:eastAsia="Arial" w:hAnsi="Arial"/>
          <w:sz w:val="22"/>
          <w:szCs w:val="22"/>
        </w:rPr>
        <w:t xml:space="preserve">Before applying GRF, they residualize the outcome (Y), treatment (W), and instrument (Z) on: marital status, state-year fixed effects, and 10-piece linear splines of base-year income (Appendix C.4, Eq. 104). This step is done via OLS, not via the forest’s default centering.</w:t>
      </w:r>
    </w:p>
    <w:p>
      <w:pPr>
        <w:spacing w:after="120"/>
      </w:pPr>
      <w:r>
        <w:rPr>
          <w:rFonts w:ascii="Arial" w:cs="Arial" w:eastAsia="Arial" w:hAnsi="Arial"/>
          <w:b/>
          <w:bCs/>
          <w:sz w:val="22"/>
          <w:szCs w:val="22"/>
        </w:rPr>
        <w:t xml:space="preserve">Output: </w:t>
      </w:r>
      <w:r>
        <w:rPr>
          <w:rFonts w:ascii="Arial" w:cs="Arial" w:eastAsia="Arial" w:hAnsi="Arial"/>
          <w:sz w:val="22"/>
          <w:szCs w:val="22"/>
        </w:rPr>
        <w:t xml:space="preserve">Individual-level predicted elasticities β̂_{i,t} and ε̂_{w,i,t} for each observation. Figure 4’s heatmap shows an unconditional correlation of 0.64.</w:t>
      </w:r>
    </w:p>
    <w:p>
      <w:pPr>
        <w:spacing w:after="120"/>
      </w:pPr>
      <w:r>
        <w:rPr>
          <w:rFonts w:ascii="Arial" w:cs="Arial" w:eastAsia="Arial" w:hAnsi="Arial"/>
          <w:b/>
          <w:bCs/>
          <w:sz w:val="22"/>
          <w:szCs w:val="22"/>
        </w:rPr>
        <w:t xml:space="preserve">Software: </w:t>
      </w:r>
      <w:r>
        <w:rPr>
          <w:rFonts w:ascii="Arial" w:cs="Arial" w:eastAsia="Arial" w:hAnsi="Arial"/>
          <w:sz w:val="22"/>
          <w:szCs w:val="22"/>
        </w:rPr>
        <w:t xml:space="preserve">R ‘grf’ package, instrumental_forest() function.</w:t>
      </w:r>
    </w:p>
    <w:p>
      <w:pPr>
        <w:pStyle w:val="Heading2"/>
      </w:pPr>
      <w:r>
        <w:rPr>
          <w:rFonts w:ascii="Arial" w:cs="Arial" w:eastAsia="Arial" w:hAnsi="Arial"/>
          <w:b/>
          <w:bCs/>
          <w:sz w:val="28"/>
          <w:szCs w:val="28"/>
        </w:rPr>
        <w:t xml:space="preserve">1.4 Income-Conditional Correlation Estimation</w:t>
      </w:r>
    </w:p>
    <w:p>
      <w:pPr>
        <w:spacing w:after="120"/>
      </w:pPr>
      <w:r>
        <w:rPr>
          <w:rFonts w:ascii="Arial" w:cs="Arial" w:eastAsia="Arial" w:hAnsi="Arial"/>
          <w:sz w:val="22"/>
          <w:szCs w:val="22"/>
        </w:rPr>
        <w:t xml:space="preserve">With individual-level predicted elasticities, the paper estimates the income-conditional correlation ψ(z) = Corr[β^h, ε^h_w | z^h = z] via a four-step procedure (Appendix C.5):</w:t>
      </w:r>
    </w:p>
    <w:p>
      <w:pPr>
        <w:spacing w:after="120"/>
      </w:pPr>
      <w:r>
        <w:rPr>
          <w:rFonts w:ascii="Arial" w:cs="Arial" w:eastAsia="Arial" w:hAnsi="Arial"/>
          <w:b/>
          <w:bCs/>
          <w:sz w:val="22"/>
          <w:szCs w:val="22"/>
        </w:rPr>
        <w:t xml:space="preserve">Step 1: </w:t>
      </w:r>
      <w:r>
        <w:rPr>
          <w:rFonts w:ascii="Arial" w:cs="Arial" w:eastAsia="Arial" w:hAnsi="Arial"/>
          <w:sz w:val="22"/>
          <w:szCs w:val="22"/>
        </w:rPr>
        <w:t xml:space="preserve">Year-demean log incomes (~{z}) to filter business cycle variation.</w:t>
      </w:r>
    </w:p>
    <w:p>
      <w:pPr>
        <w:spacing w:after="120"/>
      </w:pPr>
      <w:r>
        <w:rPr>
          <w:rFonts w:ascii="Arial" w:cs="Arial" w:eastAsia="Arial" w:hAnsi="Arial"/>
          <w:b/>
          <w:bCs/>
          <w:sz w:val="22"/>
          <w:szCs w:val="22"/>
        </w:rPr>
        <w:t xml:space="preserve">Step 2: </w:t>
      </w:r>
      <w:r>
        <w:rPr>
          <w:rFonts w:ascii="Arial" w:cs="Arial" w:eastAsia="Arial" w:hAnsi="Arial"/>
          <w:sz w:val="22"/>
          <w:szCs w:val="22"/>
        </w:rPr>
        <w:t xml:space="preserve">Local linear regressions of β̂ and ε̂_w on ~{z} to estimate conditional mean functions. Bandwidth = 0.2.</w:t>
      </w:r>
    </w:p>
    <w:p>
      <w:pPr>
        <w:spacing w:after="120"/>
      </w:pPr>
      <w:r>
        <w:rPr>
          <w:rFonts w:ascii="Arial" w:cs="Arial" w:eastAsia="Arial" w:hAnsi="Arial"/>
          <w:b/>
          <w:bCs/>
          <w:sz w:val="22"/>
          <w:szCs w:val="22"/>
        </w:rPr>
        <w:t xml:space="preserve">Step 3: </w:t>
      </w:r>
      <w:r>
        <w:rPr>
          <w:rFonts w:ascii="Arial" w:cs="Arial" w:eastAsia="Arial" w:hAnsi="Arial"/>
          <w:sz w:val="22"/>
          <w:szCs w:val="22"/>
        </w:rPr>
        <w:t xml:space="preserve">Local linear regressions of residual cross-products and squares (Eq. 36) to estimate conditional covariance and variances.</w:t>
      </w:r>
    </w:p>
    <w:p>
      <w:pPr>
        <w:spacing w:after="120"/>
      </w:pPr>
      <w:r>
        <w:rPr>
          <w:rFonts w:ascii="Arial" w:cs="Arial" w:eastAsia="Arial" w:hAnsi="Arial"/>
          <w:b/>
          <w:bCs/>
          <w:sz w:val="22"/>
          <w:szCs w:val="22"/>
        </w:rPr>
        <w:t xml:space="preserve">Step 4: </w:t>
      </w:r>
      <w:r>
        <w:rPr>
          <w:rFonts w:ascii="Arial" w:cs="Arial" w:eastAsia="Arial" w:hAnsi="Arial"/>
          <w:sz w:val="22"/>
          <w:szCs w:val="22"/>
        </w:rPr>
        <w:t xml:space="preserve">Plug-in correlation: ψ̂(~{z}) = f̂_c / sqrt(f̂_{vβ} · f̂_{vε_w}). Bootstrap 300 reps for bias correction and CIs.</w:t>
      </w:r>
    </w:p>
    <w:p>
      <w:pPr>
        <w:spacing w:after="120"/>
      </w:pPr>
      <w:r>
        <w:rPr>
          <w:rFonts w:ascii="Arial" w:cs="Arial" w:eastAsia="Arial" w:hAnsi="Arial"/>
          <w:b/>
          <w:bCs/>
          <w:sz w:val="22"/>
          <w:szCs w:val="22"/>
        </w:rPr>
        <w:t xml:space="preserve">Key result: </w:t>
      </w:r>
      <w:r>
        <w:rPr>
          <w:rFonts w:ascii="Arial" w:cs="Arial" w:eastAsia="Arial" w:hAnsi="Arial"/>
          <w:sz w:val="22"/>
          <w:szCs w:val="22"/>
        </w:rPr>
        <w:t xml:space="preserve">Average within-income correlation ψ̂ = 0.56 with 95% CI (0.32, 0.87). At top incomes, around 0.6. They can reject zero correlation at all income levels.</w:t>
      </w:r>
    </w:p>
    <w:p>
      <w:pPr>
        <w:pStyle w:val="Heading2"/>
      </w:pPr>
      <w:r>
        <w:rPr>
          <w:rFonts w:ascii="Arial" w:cs="Arial" w:eastAsia="Arial" w:hAnsi="Arial"/>
          <w:b/>
          <w:bCs/>
          <w:sz w:val="28"/>
          <w:szCs w:val="28"/>
        </w:rPr>
        <w:t xml:space="preserve">1.5 Ballpark Quantification (Eq. 40–41)</w:t>
      </w:r>
    </w:p>
    <w:p>
      <w:pPr>
        <w:spacing w:after="120"/>
      </w:pPr>
      <w:r>
        <w:rPr>
          <w:rFonts w:ascii="Arial" w:cs="Arial" w:eastAsia="Arial" w:hAnsi="Arial"/>
          <w:sz w:val="22"/>
          <w:szCs w:val="22"/>
        </w:rPr>
        <w:t xml:space="preserve">The quantification combines external statistics with the estimated correlation. The paper frames this as a “ballpark” exercise, not a precise structural estimate:</w:t>
      </w:r>
    </w:p>
    <w:p>
      <w:pPr>
        <w:spacing w:after="120"/>
      </w:pPr>
      <w:r>
        <w:rPr>
          <w:rFonts w:ascii="Arial" w:cs="Arial" w:eastAsia="Arial" w:hAnsi="Arial"/>
          <w:b/>
          <w:bCs/>
          <w:sz w:val="22"/>
          <w:szCs w:val="22"/>
        </w:rPr>
        <w:t xml:space="preserve">Pareto shape (α_top): </w:t>
      </w:r>
      <w:r>
        <w:rPr>
          <w:rFonts w:ascii="Arial" w:cs="Arial" w:eastAsia="Arial" w:hAnsi="Arial"/>
          <w:sz w:val="22"/>
          <w:szCs w:val="22"/>
        </w:rPr>
        <w:t xml:space="preserve">From WID income shares (top 1%, top 0.1%). Declined from 1.70 (1994) to 1.47 (2023). Δlogα ≈ −0.145.</w:t>
      </w:r>
    </w:p>
    <w:p>
      <w:pPr>
        <w:spacing w:after="120"/>
      </w:pPr>
      <w:r>
        <w:rPr>
          <w:rFonts w:ascii="Arial" w:cs="Arial" w:eastAsia="Arial" w:hAnsi="Arial"/>
          <w:b/>
          <w:bCs/>
          <w:sz w:val="22"/>
          <w:szCs w:val="22"/>
        </w:rPr>
        <w:t xml:space="preserve">Change in top ETI (Eq. 39–40): </w:t>
      </w:r>
      <w:r>
        <w:rPr>
          <w:rFonts w:ascii="Arial" w:cs="Arial" w:eastAsia="Arial" w:hAnsi="Arial"/>
          <w:sz w:val="22"/>
          <w:szCs w:val="22"/>
        </w:rPr>
        <w:t xml:space="preserve">Uses: assumed productivity growth of log(1.167) for 95–99th percentile (half of observed 33% wage growth, the rest attributed to behavioral responses—an assumption the paper flags as conservative), α̃ = 1.70, lower-bound Var(ε) = 0.25 from Becko-Sztutman (2024), mean ETI = 0.3, correlation = 0.6. Yields Δlogε ≈ 0.437.</w:t>
      </w:r>
    </w:p>
    <w:p>
      <w:pPr>
        <w:spacing w:after="120"/>
      </w:pPr>
      <w:r>
        <w:rPr>
          <w:rFonts w:ascii="Arial" w:cs="Arial" w:eastAsia="Arial" w:hAnsi="Arial"/>
          <w:b/>
          <w:bCs/>
          <w:sz w:val="22"/>
          <w:szCs w:val="22"/>
        </w:rPr>
        <w:t xml:space="preserve">Net result: </w:t>
      </w:r>
      <w:r>
        <w:rPr>
          <w:rFonts w:ascii="Arial" w:cs="Arial" w:eastAsia="Arial" w:hAnsi="Arial"/>
          <w:sz w:val="22"/>
          <w:szCs w:val="22"/>
        </w:rPr>
        <w:t xml:space="preserve">Δlogκ = −0.145 + 0.437 = 0.292, implying a ~34% rise in cost of redistribution from 1994 to 2023. The paper emphasizes this is approximate and depends on several auxiliary assumptions (notably the productivity growth decomposition and the use of lower-bound variance estimates).</w:t>
      </w:r>
    </w:p>
    <w:p>
      <w:r>
        <w:br w:type="page"/>
      </w:r>
    </w:p>
    <w:p>
      <w:pPr>
        <w:pStyle w:val="Heading1"/>
      </w:pPr>
      <w:r>
        <w:rPr>
          <w:rFonts w:ascii="Arial" w:cs="Arial" w:eastAsia="Arial" w:hAnsi="Arial"/>
          <w:b/>
          <w:bCs/>
          <w:sz w:val="32"/>
          <w:szCs w:val="32"/>
        </w:rPr>
        <w:t xml:space="preserve">Part 2: Your Current Project’s Assets</w:t>
      </w:r>
    </w:p>
    <w:p>
      <w:pPr>
        <w:spacing w:after="120"/>
      </w:pPr>
      <w:r>
        <w:rPr>
          <w:rFonts w:ascii="Arial" w:cs="Arial" w:eastAsia="Arial" w:hAnsi="Arial"/>
          <w:sz w:val="22"/>
          <w:szCs w:val="22"/>
        </w:rPr>
        <w:t xml:space="preserve">This section catalogues what your NLSY79 project already has, independently of any adaptation from the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Asset</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5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Details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NLSY79 panel (wide→long)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12,686 individuals, 583,556 person-year obs, 1978–2019 (annual through 1993, biennial after)</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TAXSIM pipeline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Actual MTRs + counterfactual (CPI-adjusted t−3 income) MTRs via TAXSIM 35</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Gruber-Saez tax elasticity (2SLS)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Annual period: ETI ≈ −0.09 (n.s.), biennial: ETI ≈ 0.54. Both with 10-piece splines, income weighting, clustered SEs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Taxable income (broad definition)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pwages + swages + dividends + interest + pensions + UI + business + property + nonproperty income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Annual hours worked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Self-reported; available annually (1979–1993), with interpolation for biennial gaps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Industry codes (1970 Census)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12 broad categories, 1979–1993 only. Not available for biennial period.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Occupation codes (1970 Census)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9 broad categories, 1979–1993 only</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Demographics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Sex, age, education (HGC), marital status, race, AFQT, dependents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Cumulative hours since age 14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With biennial interpolation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Potential experience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Age − education − 6, year-specific</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CPI data (BLS)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For real income calculations and instrument construction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Skill vs. Signal analysis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Altonji-Pierret employer learning tests, sheepskin effects, Mincer regressions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Hourly wage variable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Not yet constructed</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Can compute from pwages / annual_hours, but see mechanical overlap discussion in Part 4</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Leave-one-out industry wage instrument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Not yet constructed</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Requires industry codes + earnings + hours; see exclusion restriction discussion in Part 4</w:t>
            </w:r>
          </w:p>
        </w:tc>
      </w:tr>
    </w:tbl>
    <w:p>
      <w:r>
        <w:br w:type="page"/>
      </w:r>
    </w:p>
    <w:p>
      <w:pPr>
        <w:pStyle w:val="Heading1"/>
      </w:pPr>
      <w:r>
        <w:rPr>
          <w:rFonts w:ascii="Arial" w:cs="Arial" w:eastAsia="Arial" w:hAnsi="Arial"/>
          <w:b/>
          <w:bCs/>
          <w:sz w:val="32"/>
          <w:szCs w:val="32"/>
        </w:rPr>
        <w:t xml:space="preserve">Part 3: Three-Column Comparison — Paper / Project / Proposed Adaptation</w:t>
      </w:r>
    </w:p>
    <w:p>
      <w:pPr>
        <w:spacing w:after="120"/>
      </w:pPr>
      <w:r>
        <w:rPr>
          <w:rFonts w:ascii="Arial" w:cs="Arial" w:eastAsia="Arial" w:hAnsi="Arial"/>
          <w:sz w:val="22"/>
          <w:szCs w:val="22"/>
        </w:rPr>
        <w:t xml:space="preserve">For each empirical component, this section distinguishes precisely between what BSX do, what you already have, and what I am proposing as an adaptation. Each proposed step is labeled as paper-faithful (follows the paper’s design closely), project-specific adaptation (departs from the paper due to NLSY constraints), or exploratory approximation (a rougher analog that sacrifices some of the paper’s rigor).</w:t>
      </w:r>
    </w:p>
    <w:p>
      <w:pPr>
        <w:pStyle w:val="Heading2"/>
      </w:pPr>
      <w:r>
        <w:rPr>
          <w:rFonts w:ascii="Arial" w:cs="Arial" w:eastAsia="Arial" w:hAnsi="Arial"/>
          <w:b/>
          <w:bCs/>
          <w:sz w:val="28"/>
          <w:szCs w:val="28"/>
        </w:rPr>
        <w:t xml:space="preserve">3.1 Tax Elasticity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Dimension</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What BSX Do</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What You Have</w:t>
            </w:r>
          </w:p>
        </w:tc>
        <w:tc>
          <w:tcPr>
            <w:tcW w:type="dxa" w:w="3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Proposed Adaptation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Data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SIPP 2000–2013: rotating panel, multiple cohorts, ~60K+ obs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NLSY79 1978–2019: single birth cohort (1957–64), ~38K–48K in analysis samples</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No change needed; already implemented. But note: single-cohort design means age and calendar time move together, unlike SIPP. [Project-specific]</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DV</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Δlog(broad income), 3-year change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Δlog(broad income), 3-year change (annual) or 2-year (biennial)</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Already implemented. Biennial period uses 2-year lag due to survey structure. [Project-specific adaptation]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Endogenous regressor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Δlog(1−MTR), actual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Δlog(1−MTR), actual, from TAXSIM 35</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Already implemented. [Paper-faithful]</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Instrument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Simulated MTR: base-year income + end-year tax law via TAXSIM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Same construction: CPI-inflated base-year income + end-year tax law via TAXSIM 35</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Already implemented. Construction follows Gruber-Saez as in BSX. [Paper-faithful]</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Controls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Year FE, married dummy, 10-piece income spline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Year FE, married dummy, 10-piece income spline</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Already implemented. [Paper-faithful]</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Income floor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$5,000 in 2008 dollars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$10,000 in 1984 dollars (roughly $5,000 in 2008 after CPI)</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Already implemented. Slight difference in base year for CPI adjustment; immaterial. [Project-specific]</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Tax variation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Federal + state reforms across 50 states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Federal + state, but NLSY sample is geographically concentrated</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Cannot change; NLSY’s geographic coverage is fixed. State-year FE may be infeasible due to thin cells. [Project-specific limitation]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Sample structure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Multiple cohorts at each calendar year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Single cohort: all individuals are roughly the same age in each year</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Fundamental design difference. Your annual-period sample (ages ~17–35) and biennial-period sample (ages ~31–62) capture different life-cycle stages, not different cohorts. This is both a limitation (age-period confounding) and a feature (within-person dynamics). [Project-specific]</w:t>
            </w:r>
          </w:p>
        </w:tc>
      </w:tr>
    </w:tbl>
    <w:p>
      <w:pPr>
        <w:spacing w:after="80"/>
      </w:pPr>
    </w:p>
    <w:p>
      <w:pPr>
        <w:pStyle w:val="Heading2"/>
      </w:pPr>
      <w:r>
        <w:rPr>
          <w:rFonts w:ascii="Arial" w:cs="Arial" w:eastAsia="Arial" w:hAnsi="Arial"/>
          <w:b/>
          <w:bCs/>
          <w:sz w:val="28"/>
          <w:szCs w:val="28"/>
        </w:rPr>
        <w:t xml:space="preserve">3.2 Wage/Productivity Elasticity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Dimension</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What BSX Do</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What You Have</w:t>
            </w:r>
          </w:p>
        </w:tc>
        <w:tc>
          <w:tcPr>
            <w:tcW w:type="dxa" w:w="3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Proposed Adaptation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Data source for hourly wages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SIPP: hourly wage directly measured in survey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NLSY: not directly measured. Must construct from pwages / annual_hours.</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Construct hourly wage as derived variable. This introduces division bias (see Part 4). [Project-specific adaptation]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Industry classification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SIPP industry codes, all years 2000–2013</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1970 Census broad industry (12 categories), 1979–1993 only</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Restrict to annual period. Broader categories than BSX likely used; may reduce instrument power. [Project-specific adaptation]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LOO instrument construction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Individual-level LOO wage changes within industry cohort; constructs from individual I and H</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Not yet built. Can construct from individual pwages and annual_hours within ind_broad cohorts.</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Build analogous instrument. But see Part 4 for exclusion restriction concerns specific to NLSY. [Exploratory approximation]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Cohort for LOO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All other SIPP respondents in same industry at base year (likely hundreds per cell)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All other NLSY79 respondents in same broad industry at base year (12,686 total, split across 12 industries)</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Industry cells will be much smaller than in SIPP. Median cell may be ~500–1,000, but annual variation reduces effective sizes. Cells with &lt;30 workers should be flagged or dropped. [Project-specific adaptation]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Exclusion restriction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Industry wage shocks affect individual income only through individual wages; individual labor supply shocks are idiosyncratic</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Same assumption, but with single cohort: industry demand shocks may correlate with cohort-specific lifecycle labor supply patterns</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Assumption is more fragile in NLSY. See dedicated discussion in Part 4. [Exploratory approximation]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DV</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Δlog(broad income), same as tax regression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Same</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Same. [Paper-faithful]</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Controls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Year FE, married, 10-piece splines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Same available</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Same. [Paper-faithful]</w:t>
            </w:r>
          </w:p>
        </w:tc>
      </w:tr>
    </w:tbl>
    <w:p>
      <w:pPr>
        <w:spacing w:after="80"/>
      </w:pPr>
    </w:p>
    <w:p>
      <w:pPr>
        <w:pStyle w:val="Heading2"/>
      </w:pPr>
      <w:r>
        <w:rPr>
          <w:rFonts w:ascii="Arial" w:cs="Arial" w:eastAsia="Arial" w:hAnsi="Arial"/>
          <w:b/>
          <w:bCs/>
          <w:sz w:val="28"/>
          <w:szCs w:val="28"/>
        </w:rPr>
        <w:t xml:space="preserve">3.3 Heterogeneous Elasticities (GRF)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Dimension</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What BSX Do</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What You Have</w:t>
            </w:r>
          </w:p>
        </w:tc>
        <w:tc>
          <w:tcPr>
            <w:tcW w:type="dxa" w:w="3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Proposed Adaptation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Software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 ‘grf’ package, instrumental_forest()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Stata-based pipeline; no R integration yet</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Export data to R, run forests, import predictions back. [Paper-faithful for method; project-specific for workflow]</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Covariates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Sex, mstat, dependents, education, age, years at job, occupation, income, MTR, self-emp income, mortgage, rent, property tax</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Have: sex, mstat, depx, hgc, page, occ_broad (1979–93), income, MTR. From TAXSIM inputs: psemp, mortgage, rentpaid, proptax. Missing: years at current job (may be derivable from NLSY job tenure).</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Use available covariates; drop or proxy years-at-job. [Project-specific adaptation]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Pre-residualization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OLS on mstat, state-year FE, 10-piece splines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Can do mstat + year FE + splines. State-year FE questionable due to cell sizes.</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Use year FE instead of state-year FE. [Project-specific adaptation]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Sample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SIPP, all years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NLSY, annual period only (need both industry codes and tax variation)</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Restrict to 1979–1993 where both instruments exist. [Project-specific adaptation]</w:t>
            </w:r>
          </w:p>
        </w:tc>
      </w:tr>
    </w:tbl>
    <w:p>
      <w:pPr>
        <w:spacing w:after="80"/>
      </w:pPr>
    </w:p>
    <w:p>
      <w:pPr>
        <w:pStyle w:val="Heading2"/>
      </w:pPr>
      <w:r>
        <w:rPr>
          <w:rFonts w:ascii="Arial" w:cs="Arial" w:eastAsia="Arial" w:hAnsi="Arial"/>
          <w:b/>
          <w:bCs/>
          <w:sz w:val="28"/>
          <w:szCs w:val="28"/>
        </w:rPr>
        <w:t xml:space="preserve">3.4 Income-Conditional Correlation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Dimension</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What BSX Do</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What You Have</w:t>
            </w:r>
          </w:p>
        </w:tc>
        <w:tc>
          <w:tcPr>
            <w:tcW w:type="dxa" w:w="3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Proposed Adaptation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Running variable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Year-demeaned log income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Can construct identically</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[Paper-faithful]</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Method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Local linear regression, bandwidth 0.2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Available in Stata (lpoly) or R (locpoly)</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[Paper-faithful]</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Bootstrap</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300 reps, redrawing data and re-running full GRF + local regressions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Computationally feasible but time-intensive</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May reduce to 100 reps initially to confirm feasibility. [Exploratory approximation]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Interpretation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ψ enters cost-of-redistribution formula as scaling factor for sorting mechanism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Same theoretical framework applies</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Your estimate of ψ would use NLSY rather than SIPP data; comparison is informative. [Paper-faithful in principle]</w:t>
            </w:r>
          </w:p>
        </w:tc>
      </w:tr>
    </w:tbl>
    <w:p>
      <w:pPr>
        <w:spacing w:after="80"/>
      </w:pPr>
    </w:p>
    <w:p>
      <w:pPr>
        <w:pStyle w:val="Heading2"/>
      </w:pPr>
      <w:r>
        <w:rPr>
          <w:rFonts w:ascii="Arial" w:cs="Arial" w:eastAsia="Arial" w:hAnsi="Arial"/>
          <w:b/>
          <w:bCs/>
          <w:sz w:val="28"/>
          <w:szCs w:val="28"/>
        </w:rPr>
        <w:t xml:space="preserve">3.5 Quantification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Dimension</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What BSX Do</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What You Have</w:t>
            </w:r>
          </w:p>
        </w:tc>
        <w:tc>
          <w:tcPr>
            <w:tcW w:type="dxa" w:w="3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Proposed Adaptation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Pareto shape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WID income shares (top 1%, 0.1%)</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NLSY cannot estimate this; sample too small and not nationally representative at top</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Use published WID values. [Paper-faithful for input values]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Productivity growth</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Inferred from 95–99th percentile wage growth (Bivens et al. 2014), halved as conservative assumption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Cannot independently estimate; NLSY is one cohort, not representative of income distribution tails</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Use published values. [Paper-faithful for input values]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ETI variance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Becko-Sztutman (2024) lower bound: 0.25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Could potentially estimate from your GRF predictions</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Use GRF-based estimate if available; otherwise use published lower bound. [Project-specific if own estimate; paper-faithful if published]</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Correlation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Own estimate: 0.56 (avg), 0.6 (top)</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Would use own estimate from Priority 4</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This is the main contribution of the adaptation. [Project-specific]</w:t>
            </w:r>
          </w:p>
        </w:tc>
      </w:tr>
    </w:tbl>
    <w:p>
      <w:r>
        <w:br w:type="page"/>
      </w:r>
    </w:p>
    <w:p>
      <w:pPr>
        <w:pStyle w:val="Heading1"/>
      </w:pPr>
      <w:r>
        <w:rPr>
          <w:rFonts w:ascii="Arial" w:cs="Arial" w:eastAsia="Arial" w:hAnsi="Arial"/>
          <w:b/>
          <w:bCs/>
          <w:sz w:val="32"/>
          <w:szCs w:val="32"/>
        </w:rPr>
        <w:t xml:space="preserve">Part 4: Identification Risks for the Wage Regression in NLSY</w:t>
      </w:r>
    </w:p>
    <w:p>
      <w:pPr>
        <w:spacing w:after="120"/>
      </w:pPr>
      <w:r>
        <w:rPr>
          <w:rFonts w:ascii="Arial" w:cs="Arial" w:eastAsia="Arial" w:hAnsi="Arial"/>
          <w:sz w:val="22"/>
          <w:szCs w:val="22"/>
        </w:rPr>
        <w:t xml:space="preserve">This section provides a dedicated assessment of the threats to identification when adapting the wage elasticity regression (Eq. 30) to NLSY79 data. Several concerns are specific to the NLSY design and would not arise (or arise less severely) in the SIPP setting the paper uses.</w:t>
      </w:r>
    </w:p>
    <w:p>
      <w:pPr>
        <w:pStyle w:val="Heading2"/>
      </w:pPr>
      <w:r>
        <w:rPr>
          <w:rFonts w:ascii="Arial" w:cs="Arial" w:eastAsia="Arial" w:hAnsi="Arial"/>
          <w:b/>
          <w:bCs/>
          <w:sz w:val="28"/>
          <w:szCs w:val="28"/>
        </w:rPr>
        <w:t xml:space="preserve">4.1 Mechanical Overlap Between LHS and RHS</w:t>
      </w:r>
    </w:p>
    <w:p>
      <w:pPr>
        <w:spacing w:after="120"/>
      </w:pPr>
      <w:r>
        <w:rPr>
          <w:rFonts w:ascii="Arial" w:cs="Arial" w:eastAsia="Arial" w:hAnsi="Arial"/>
          <w:b/>
          <w:bCs/>
          <w:sz w:val="22"/>
          <w:szCs w:val="22"/>
        </w:rPr>
        <w:t xml:space="preserve">The problem. </w:t>
      </w:r>
      <w:r>
        <w:rPr>
          <w:rFonts w:ascii="Arial" w:cs="Arial" w:eastAsia="Arial" w:hAnsi="Arial"/>
          <w:sz w:val="22"/>
          <w:szCs w:val="22"/>
        </w:rPr>
        <w:t xml:space="preserve">The dependent variable in both the tax and wage regressions is Δlog(z), where z is broad taxable income. The endogenous regressor in the wage regression is Δlog(w), where w is the hourly wage. In NLSY, you must construct hourly wages as w = pwages / hours, where pwages (primary wage earnings) is the dominant component of taxable income z. This means the LHS and RHS share a common numerator: changes in pwages mechanically appear on both sides of the equation.</w:t>
      </w:r>
    </w:p>
    <w:p>
      <w:pPr>
        <w:spacing w:after="120"/>
      </w:pPr>
      <w:r>
        <w:rPr>
          <w:rFonts w:ascii="Arial" w:cs="Arial" w:eastAsia="Arial" w:hAnsi="Arial"/>
          <w:b/>
          <w:bCs/>
          <w:sz w:val="22"/>
          <w:szCs w:val="22"/>
        </w:rPr>
        <w:t xml:space="preserve">Why BSX’s SIPP setting partially mitigates this. </w:t>
      </w:r>
      <w:r>
        <w:rPr>
          <w:rFonts w:ascii="Arial" w:cs="Arial" w:eastAsia="Arial" w:hAnsi="Arial"/>
          <w:sz w:val="22"/>
          <w:szCs w:val="22"/>
        </w:rPr>
        <w:t xml:space="preserve">In SIPP, hourly wages are measured directly from a survey question (“What is your hourly rate of pay?”), not derived from earnings divided by hours. This means the hourly wage variable contains information about the price of labor that is at least partially independent of the total earnings measure. There is still overlap—earnings = wage × hours—but the measurement channels are distinct.</w:t>
      </w:r>
    </w:p>
    <w:p>
      <w:pPr>
        <w:spacing w:after="120"/>
      </w:pPr>
      <w:r>
        <w:rPr>
          <w:rFonts w:ascii="Arial" w:cs="Arial" w:eastAsia="Arial" w:hAnsi="Arial"/>
          <w:b/>
          <w:bCs/>
          <w:sz w:val="22"/>
          <w:szCs w:val="22"/>
        </w:rPr>
        <w:t xml:space="preserve">How this affects your NLSY implementation. </w:t>
      </w:r>
      <w:r>
        <w:rPr>
          <w:rFonts w:ascii="Arial" w:cs="Arial" w:eastAsia="Arial" w:hAnsi="Arial"/>
          <w:sz w:val="22"/>
          <w:szCs w:val="22"/>
        </w:rPr>
        <w:t xml:space="preserve">When w = pwages / hours, we have Δlog(w) = Δlog(pwages) − Δlog(hours). Since pwages is the largest component of z, we roughly have Δlog(z) ≈ Δlog(pwages) + [small contribution from other income sources]. So the regression becomes approximately:</w:t>
      </w:r>
    </w:p>
    <w:p>
      <w:pPr>
        <w:spacing w:after="120"/>
      </w:pPr>
      <w:r>
        <w:rPr>
          <w:rFonts w:ascii="Arial" w:cs="Arial" w:eastAsia="Arial" w:hAnsi="Arial"/>
          <w:i/>
          <w:iCs/>
          <w:sz w:val="22"/>
          <w:szCs w:val="22"/>
        </w:rPr>
        <w:t xml:space="preserve">    Δlog(pwages) + δ ≈ ε_w · [Δlog(pwages) − Δlog(hours)] + controls + ε</w:t>
      </w:r>
    </w:p>
    <w:p>
      <w:pPr>
        <w:spacing w:after="120"/>
      </w:pPr>
      <w:r>
        <w:rPr>
          <w:rFonts w:ascii="Arial" w:cs="Arial" w:eastAsia="Arial" w:hAnsi="Arial"/>
          <w:sz w:val="22"/>
          <w:szCs w:val="22"/>
        </w:rPr>
        <w:t xml:space="preserve">where δ captures the contribution of non-wage income to taxable income. The coefficient ε_w is identified from the hours variation—but measurement error in hours now contaminates both sides (hours appears in the denominator of w on the RHS, and hours × wage = earnings affects z on the LHS). This creates a form of division bias.</w:t>
      </w:r>
    </w:p>
    <w:p>
      <w:pPr>
        <w:spacing w:after="120"/>
      </w:pPr>
      <w:r>
        <w:rPr>
          <w:rFonts w:ascii="Arial" w:cs="Arial" w:eastAsia="Arial" w:hAnsi="Arial"/>
          <w:b/>
          <w:bCs/>
          <w:sz w:val="22"/>
          <w:szCs w:val="22"/>
        </w:rPr>
        <w:t xml:space="preserve">Practical consequences. </w:t>
      </w:r>
      <w:r>
        <w:rPr>
          <w:rFonts w:ascii="Arial" w:cs="Arial" w:eastAsia="Arial" w:hAnsi="Arial"/>
          <w:sz w:val="22"/>
          <w:szCs w:val="22"/>
        </w:rPr>
        <w:t xml:space="preserve">(a) OLS estimates will be biased upward: any positive shock to pwages raises both LHS and RHS mechanically. (b) 2SLS with the LOO industry instrument can potentially break this mechanical link—if the instrument is valid, it shifts the wage component of income without directly affecting hours or non-wage income. But the exclusion restriction must do heavier lifting than in SIPP, because the instrument must predict the wage component specifically, not just total earnings in the industry. (c) You should report results with and without non-wage income on the LHS to assess sensitivity. Specifically, run the regression with Δlog(pwages) as the dependent variable as a robustness check—this makes the mechanical link explicit and the elasticity has a cleaner interpretation as an hours response.</w:t>
      </w:r>
    </w:p>
    <w:p>
      <w:pPr>
        <w:spacing w:after="120"/>
      </w:pPr>
      <w:r>
        <w:rPr>
          <w:rFonts w:ascii="Arial" w:cs="Arial" w:eastAsia="Arial" w:hAnsi="Arial"/>
          <w:b/>
          <w:bCs/>
          <w:sz w:val="22"/>
          <w:szCs w:val="22"/>
        </w:rPr>
        <w:t xml:space="preserve">Classification: </w:t>
      </w:r>
      <w:r>
        <w:rPr>
          <w:rFonts w:ascii="Arial" w:cs="Arial" w:eastAsia="Arial" w:hAnsi="Arial"/>
          <w:i/>
          <w:iCs/>
          <w:sz w:val="22"/>
          <w:szCs w:val="22"/>
        </w:rPr>
        <w:t xml:space="preserve">Project-specific concern. </w:t>
      </w:r>
      <w:r>
        <w:rPr>
          <w:rFonts w:ascii="Arial" w:cs="Arial" w:eastAsia="Arial" w:hAnsi="Arial"/>
          <w:sz w:val="22"/>
          <w:szCs w:val="22"/>
        </w:rPr>
        <w:t xml:space="preserve">This issue is materially more severe in NLSY than in SIPP because of the constructed (rather than directly measured) hourly wage variable.</w:t>
      </w:r>
    </w:p>
    <w:p>
      <w:pPr>
        <w:pStyle w:val="Heading2"/>
      </w:pPr>
      <w:r>
        <w:rPr>
          <w:rFonts w:ascii="Arial" w:cs="Arial" w:eastAsia="Arial" w:hAnsi="Arial"/>
          <w:b/>
          <w:bCs/>
          <w:sz w:val="28"/>
          <w:szCs w:val="28"/>
        </w:rPr>
        <w:t xml:space="preserve">4.2 Exclusion Restriction for the LOO Industry Wage Instrument</w:t>
      </w:r>
    </w:p>
    <w:p>
      <w:pPr>
        <w:spacing w:after="120"/>
      </w:pPr>
      <w:r>
        <w:rPr>
          <w:rFonts w:ascii="Arial" w:cs="Arial" w:eastAsia="Arial" w:hAnsi="Arial"/>
          <w:b/>
          <w:bCs/>
          <w:sz w:val="22"/>
          <w:szCs w:val="22"/>
        </w:rPr>
        <w:t xml:space="preserve">What the instrument needs to satisfy. </w:t>
      </w:r>
      <w:r>
        <w:rPr>
          <w:rFonts w:ascii="Arial" w:cs="Arial" w:eastAsia="Arial" w:hAnsi="Arial"/>
          <w:sz w:val="22"/>
          <w:szCs w:val="22"/>
        </w:rPr>
        <w:t xml:space="preserve">The LOO instrument Δŵ must affect individual i’s taxable income only through its effect on i’s hourly wage. In other words: (a) the industry-level wage shock must predict individual wage changes (relevance), and (b) it must not directly affect individual taxable income through other channels (exclusion).</w:t>
      </w:r>
    </w:p>
    <w:p>
      <w:pPr>
        <w:spacing w:after="120"/>
      </w:pPr>
      <w:r>
        <w:rPr>
          <w:rFonts w:ascii="Arial" w:cs="Arial" w:eastAsia="Arial" w:hAnsi="Arial"/>
          <w:b/>
          <w:bCs/>
          <w:sz w:val="22"/>
          <w:szCs w:val="22"/>
        </w:rPr>
        <w:t xml:space="preserve">Threat 1: Single-cohort lifecycle confounding. </w:t>
      </w:r>
      <w:r>
        <w:rPr>
          <w:rFonts w:ascii="Arial" w:cs="Arial" w:eastAsia="Arial" w:hAnsi="Arial"/>
          <w:sz w:val="22"/>
          <w:szCs w:val="22"/>
        </w:rPr>
        <w:t xml:space="preserve">In NLSY79, all individuals are roughly the same age. Industries may experience demand shocks that correlate with the lifecycle labor supply patterns of this cohort. For example, if the manufacturing sector declines in the 1980s precisely when the NLSY cohort is entering the labor market, the LOO instrument captures both the industry demand shock and the cohort’s transition out of manufacturing. Year fixed effects absorb aggregate trends, but they cannot absorb industry-specific trends that differentially affect this cohort. In SIPP, the presence of multiple cohorts helps: the same industry shock affects workers of different ages, providing within-industry age variation that NLSY lacks.</w:t>
      </w:r>
    </w:p>
    <w:p>
      <w:pPr>
        <w:spacing w:after="120"/>
      </w:pPr>
      <w:r>
        <w:rPr>
          <w:rFonts w:ascii="Arial" w:cs="Arial" w:eastAsia="Arial" w:hAnsi="Arial"/>
          <w:b/>
          <w:bCs/>
          <w:sz w:val="22"/>
          <w:szCs w:val="22"/>
        </w:rPr>
        <w:t xml:space="preserve">Threat 2: Small and broad industry cells. </w:t>
      </w:r>
      <w:r>
        <w:rPr>
          <w:rFonts w:ascii="Arial" w:cs="Arial" w:eastAsia="Arial" w:hAnsi="Arial"/>
          <w:sz w:val="22"/>
          <w:szCs w:val="22"/>
        </w:rPr>
        <w:t xml:space="preserve">Your industry classification has 12 broad categories. Each cell contains perhaps 500–1,000 NLSY respondents in a given year, but after LOO removal and the requirement of valid hours data at both t and t+3, effective cell sizes may be considerably smaller. Small cells make the LOO instrument noisy (reducing first-stage F) and increase the risk that a few influential individuals drive the instrument. BSX use SIPP with presumably finer industry classifications and larger cell sizes. Broad industry cells also raise the concern that the instrument captures sector-wide shocks that affect earnings through channels other than hourly wages—e.g., changes in hours availability, overtime policies, or industry-wide layoff patterns that affect income but not the hourly wage rate.</w:t>
      </w:r>
    </w:p>
    <w:p>
      <w:pPr>
        <w:spacing w:after="120"/>
      </w:pPr>
      <w:r>
        <w:rPr>
          <w:rFonts w:ascii="Arial" w:cs="Arial" w:eastAsia="Arial" w:hAnsi="Arial"/>
          <w:b/>
          <w:bCs/>
          <w:sz w:val="22"/>
          <w:szCs w:val="22"/>
        </w:rPr>
        <w:t xml:space="preserve">Threat 3: Worker mobility across industries. </w:t>
      </w:r>
      <w:r>
        <w:rPr>
          <w:rFonts w:ascii="Arial" w:cs="Arial" w:eastAsia="Arial" w:hAnsi="Arial"/>
          <w:sz w:val="22"/>
          <w:szCs w:val="22"/>
        </w:rPr>
        <w:t xml:space="preserve">The instrument assigns individuals to their base-year industry. If workers switch industries in response to wage shocks, the instrument may predict wage changes for workers who are no longer in that industry, attenuating the first stage. More problematically, if workers who leave declining industries are systematically different in their labor supply elasticities, the IV estimate captures a selected subpopulation. This concern is present in both SIPP and NLSY, but the NLSY’s single-cohort design means industry transitions may be more concentrated in time (e.g., the cohort collectively moves from blue-collar to white-collar work as it ages).</w:t>
      </w:r>
    </w:p>
    <w:p>
      <w:pPr>
        <w:spacing w:after="120"/>
      </w:pPr>
      <w:r>
        <w:rPr>
          <w:rFonts w:ascii="Arial" w:cs="Arial" w:eastAsia="Arial" w:hAnsi="Arial"/>
          <w:b/>
          <w:bCs/>
          <w:sz w:val="22"/>
          <w:szCs w:val="22"/>
        </w:rPr>
        <w:t xml:space="preserve">Threat 4: Industry demand shocks affecting hours directly. </w:t>
      </w:r>
      <w:r>
        <w:rPr>
          <w:rFonts w:ascii="Arial" w:cs="Arial" w:eastAsia="Arial" w:hAnsi="Arial"/>
          <w:sz w:val="22"/>
          <w:szCs w:val="22"/>
        </w:rPr>
        <w:t xml:space="preserve">If an industry demand shock raises wages but also changes hours worked (e.g., a construction boom increases both wages and overtime hours), then the instrument affects taxable income through two channels: wages and hours. The exclusion restriction requires the effect to operate only through wages. This is especially problematic with the mechanical overlap issue from Section 4.1: since z includes the product of wages and hours, an instrument that moves both violates exclusion. BSX acknowledge this concern implicitly by assuming market-level labor supply shocks are small, but they do not test it. In NLSY, with broader industry cells, this assumption is harder to defend.</w:t>
      </w:r>
    </w:p>
    <w:p>
      <w:pPr>
        <w:spacing w:after="120"/>
      </w:pPr>
      <w:r>
        <w:rPr>
          <w:rFonts w:ascii="Arial" w:cs="Arial" w:eastAsia="Arial" w:hAnsi="Arial"/>
          <w:b/>
          <w:bCs/>
          <w:sz w:val="22"/>
          <w:szCs w:val="22"/>
        </w:rPr>
        <w:t xml:space="preserve">Overall assessment. </w:t>
      </w:r>
      <w:r>
        <w:rPr>
          <w:rFonts w:ascii="Arial" w:cs="Arial" w:eastAsia="Arial" w:hAnsi="Arial"/>
          <w:sz w:val="22"/>
          <w:szCs w:val="22"/>
        </w:rPr>
        <w:t xml:space="preserve">The LOO instrument is a reasonable starting point and follows the paper’s design. However, the exclusion restriction is more fragile in NLSY than in SIPP due to the single-cohort structure, broad industry cells, and constructed (rather than directly measured) hourly wages. I recommend reporting the wage elasticity as an exploratory approximation rather than a fully identified causal estimate, and conducting extensive robustness checks (see implementation steps below).</w:t>
      </w:r>
    </w:p>
    <w:p>
      <w:pPr>
        <w:spacing w:after="120"/>
      </w:pPr>
      <w:r>
        <w:rPr>
          <w:rFonts w:ascii="Arial" w:cs="Arial" w:eastAsia="Arial" w:hAnsi="Arial"/>
          <w:b/>
          <w:bCs/>
          <w:sz w:val="22"/>
          <w:szCs w:val="22"/>
        </w:rPr>
        <w:t xml:space="preserve">Classification: </w:t>
      </w:r>
      <w:r>
        <w:rPr>
          <w:rFonts w:ascii="Arial" w:cs="Arial" w:eastAsia="Arial" w:hAnsi="Arial"/>
          <w:i/>
          <w:iCs/>
          <w:sz w:val="22"/>
          <w:szCs w:val="22"/>
        </w:rPr>
        <w:t xml:space="preserve">Exploratory approximation. </w:t>
      </w:r>
      <w:r>
        <w:rPr>
          <w:rFonts w:ascii="Arial" w:cs="Arial" w:eastAsia="Arial" w:hAnsi="Arial"/>
          <w:sz w:val="22"/>
          <w:szCs w:val="22"/>
        </w:rPr>
        <w:t xml:space="preserve">The instrument design is paper-faithful, but the identification conditions are materially harder to defend in NLSY.</w:t>
      </w:r>
    </w:p>
    <w:p>
      <w:pPr>
        <w:pStyle w:val="Heading2"/>
      </w:pPr>
      <w:r>
        <w:rPr>
          <w:rFonts w:ascii="Arial" w:cs="Arial" w:eastAsia="Arial" w:hAnsi="Arial"/>
          <w:b/>
          <w:bCs/>
          <w:sz w:val="28"/>
          <w:szCs w:val="28"/>
        </w:rPr>
        <w:t xml:space="preserve">4.3 Additional Identification Concerns</w:t>
      </w:r>
    </w:p>
    <w:p>
      <w:pPr>
        <w:spacing w:after="120"/>
      </w:pPr>
      <w:r>
        <w:rPr>
          <w:rFonts w:ascii="Arial" w:cs="Arial" w:eastAsia="Arial" w:hAnsi="Arial"/>
          <w:b/>
          <w:bCs/>
          <w:sz w:val="22"/>
          <w:szCs w:val="22"/>
        </w:rPr>
        <w:t xml:space="preserve">Hours measurement error. </w:t>
      </w:r>
      <w:r>
        <w:rPr>
          <w:rFonts w:ascii="Arial" w:cs="Arial" w:eastAsia="Arial" w:hAnsi="Arial"/>
          <w:sz w:val="22"/>
          <w:szCs w:val="22"/>
        </w:rPr>
        <w:t xml:space="preserve">NLSY hours are self-reported annual totals. Measurement error in hours contaminates both the hourly wage variable (denominator bias—classical measurement error in hours causes a negative correlation between constructed wages and hours, and an upward bias in the wage-income elasticity) and the LOO instrument (if others’ hours are noisy). IV may partially address classical measurement error by averaging over many individuals in the LOO construction, but non-classical errors (e.g., respondents rounding hours systematically) would not be resolved. </w:t>
      </w:r>
      <w:r>
        <w:rPr>
          <w:rFonts w:ascii="Arial" w:cs="Arial" w:eastAsia="Arial" w:hAnsi="Arial"/>
          <w:i/>
          <w:iCs/>
          <w:sz w:val="22"/>
          <w:szCs w:val="22"/>
        </w:rPr>
        <w:t xml:space="preserve">[Project-specific concern]</w:t>
      </w:r>
    </w:p>
    <w:p>
      <w:pPr>
        <w:spacing w:after="120"/>
      </w:pPr>
      <w:r>
        <w:rPr>
          <w:rFonts w:ascii="Arial" w:cs="Arial" w:eastAsia="Arial" w:hAnsi="Arial"/>
          <w:b/>
          <w:bCs/>
          <w:sz w:val="22"/>
          <w:szCs w:val="22"/>
        </w:rPr>
        <w:t xml:space="preserve">Comparison with tax elasticity. </w:t>
      </w:r>
      <w:r>
        <w:rPr>
          <w:rFonts w:ascii="Arial" w:cs="Arial" w:eastAsia="Arial" w:hAnsi="Arial"/>
          <w:sz w:val="22"/>
          <w:szCs w:val="22"/>
        </w:rPr>
        <w:t xml:space="preserve">The paper’s theoretical framework suggests a specific relationship between wage and tax elasticities: in the baseline model without avoidance, ε_w = 1 + ζ. This is a model implication under specific functional form assumptions (quasilinear utility, constant labor supply elasticity), not a general result. When comparing your estimates of the two elasticities, departures from this relationship could reflect: (a) tax avoidance channels, (b) violations of the functional form assumptions, (c) different identification problems in the two IV strategies, or (d) measurement issues specific to one regression. You should not interpret a departure as clean evidence for any single explanation. </w:t>
      </w:r>
      <w:r>
        <w:rPr>
          <w:rFonts w:ascii="Arial" w:cs="Arial" w:eastAsia="Arial" w:hAnsi="Arial"/>
          <w:i/>
          <w:iCs/>
          <w:sz w:val="22"/>
          <w:szCs w:val="22"/>
        </w:rPr>
        <w:t xml:space="preserve">[Clarification of theory]</w:t>
      </w:r>
    </w:p>
    <w:p>
      <w:pPr>
        <w:spacing w:after="120"/>
      </w:pPr>
      <w:r>
        <w:rPr>
          <w:rFonts w:ascii="Arial" w:cs="Arial" w:eastAsia="Arial" w:hAnsi="Arial"/>
          <w:b/>
          <w:bCs/>
          <w:sz w:val="22"/>
          <w:szCs w:val="22"/>
        </w:rPr>
        <w:t xml:space="preserve">Biennial period exclusion. </w:t>
      </w:r>
      <w:r>
        <w:rPr>
          <w:rFonts w:ascii="Arial" w:cs="Arial" w:eastAsia="Arial" w:hAnsi="Arial"/>
          <w:sz w:val="22"/>
          <w:szCs w:val="22"/>
        </w:rPr>
        <w:t xml:space="preserve">The wage regression is restricted to the annual period (1979–1993) because industry codes are only available then. This means the wage and tax elasticities are estimated on the same period and sample (annual period), which is good for comparability. But it also means you cannot study how the wage elasticity changes over the lifecycle into the biennial period. This is a data limitation, not an analytical choice. </w:t>
      </w:r>
      <w:r>
        <w:rPr>
          <w:rFonts w:ascii="Arial" w:cs="Arial" w:eastAsia="Arial" w:hAnsi="Arial"/>
          <w:i/>
          <w:iCs/>
          <w:sz w:val="22"/>
          <w:szCs w:val="22"/>
        </w:rPr>
        <w:t xml:space="preserve">[Project-specific limitation]</w:t>
      </w:r>
    </w:p>
    <w:p>
      <w:r>
        <w:br w:type="page"/>
      </w:r>
    </w:p>
    <w:p>
      <w:pPr>
        <w:pStyle w:val="Heading1"/>
      </w:pPr>
      <w:r>
        <w:rPr>
          <w:rFonts w:ascii="Arial" w:cs="Arial" w:eastAsia="Arial" w:hAnsi="Arial"/>
          <w:b/>
          <w:bCs/>
          <w:sz w:val="32"/>
          <w:szCs w:val="32"/>
        </w:rPr>
        <w:t xml:space="preserve">Part 5: Implementation Plan (Ordered by Value and Feasibility)</w:t>
      </w:r>
    </w:p>
    <w:p>
      <w:pPr>
        <w:spacing w:after="120"/>
      </w:pPr>
      <w:r>
        <w:rPr>
          <w:rFonts w:ascii="Arial" w:cs="Arial" w:eastAsia="Arial" w:hAnsi="Arial"/>
          <w:sz w:val="22"/>
          <w:szCs w:val="22"/>
        </w:rPr>
        <w:t xml:space="preserve">Each step below is labeled as paper-faithful, project-specific adaptation, or exploratory approximation.</w:t>
      </w:r>
    </w:p>
    <w:p>
      <w:pPr>
        <w:pStyle w:val="Heading2"/>
      </w:pPr>
      <w:r>
        <w:rPr>
          <w:rFonts w:ascii="Arial" w:cs="Arial" w:eastAsia="Arial" w:hAnsi="Arial"/>
          <w:b/>
          <w:bCs/>
          <w:sz w:val="28"/>
          <w:szCs w:val="28"/>
        </w:rPr>
        <w:t xml:space="preserve">Priority 1: Wage Elasticity Regression [HIGH VALUE, MODERATE EFFORT]</w:t>
      </w:r>
    </w:p>
    <w:p>
      <w:pPr>
        <w:spacing w:after="120"/>
      </w:pPr>
      <w:r>
        <w:rPr>
          <w:rFonts w:ascii="Arial" w:cs="Arial" w:eastAsia="Arial" w:hAnsi="Arial"/>
          <w:sz w:val="22"/>
          <w:szCs w:val="22"/>
        </w:rPr>
        <w:t xml:space="preserve">This is the highest-value new component. Despite the identification caveats in Part 4, having both elasticities on the same sample is necessary for any engagement with the paper’s sorting mechanism.</w:t>
      </w:r>
    </w:p>
    <w:p>
      <w:pPr>
        <w:pStyle w:val="Heading3"/>
      </w:pPr>
      <w:r>
        <w:rPr>
          <w:rFonts w:ascii="Arial" w:cs="Arial" w:eastAsia="Arial" w:hAnsi="Arial"/>
          <w:b/>
          <w:bCs/>
          <w:sz w:val="24"/>
          <w:szCs w:val="24"/>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Element</w:t>
            </w:r>
          </w:p>
        </w:tc>
        <w:tc>
          <w:tcPr>
            <w:tcW w:type="dxa" w:w="4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Specification</w:t>
            </w:r>
          </w:p>
        </w:tc>
        <w:tc>
          <w:tcPr>
            <w:tcW w:type="dxa" w:w="27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Classification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Dependent variable</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Δlog(z_{i,t+3}): 3-year change in log broad taxable income</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Paper-faithful</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Key regressor</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Δlog(w_{i,t+3}): 3-year change in log hourly wage, where w = pwages / annual_hours</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Project-specific adaptation (BSX measure w directly from SIPP survey questions)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Instrument</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LOO Δŵ: leave-one-out average wage change within base-year broad industry cohort, per Eq. 31</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Paper-faithful in design; exploratory approximation in identification strength (broad cells, single cohort)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Controls</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Year FE, married dummy, 10-piece spline of log base-year income</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Paper-faithful</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Sample</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Annual period 1979–1993. Taxable income &gt; $5,000 real. Stable marital status. Positive hourly wages at both t and t+3. Valid industry code. Industry cohort ≥5 other workers.</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Project-specific adaptation (different period and data source from BSX)</w:t>
            </w:r>
          </w:p>
        </w:tc>
      </w:tr>
    </w:tbl>
    <w:p>
      <w:pPr>
        <w:spacing w:after="80"/>
      </w:pPr>
    </w:p>
    <w:p>
      <w:pPr>
        <w:pStyle w:val="Heading3"/>
      </w:pPr>
      <w:r>
        <w:rPr>
          <w:rFonts w:ascii="Arial" w:cs="Arial" w:eastAsia="Arial" w:hAnsi="Arial"/>
          <w:b/>
          <w:bCs/>
          <w:sz w:val="24"/>
          <w:szCs w:val="24"/>
        </w:rPr>
        <w:t xml:space="preserve">Implementation Steps</w:t>
      </w:r>
    </w:p>
    <w:p>
      <w:pPr>
        <w:spacing w:after="120"/>
      </w:pPr>
      <w:r>
        <w:rPr>
          <w:rFonts w:ascii="Arial" w:cs="Arial" w:eastAsia="Arial" w:hAnsi="Arial"/>
          <w:b/>
          <w:bCs/>
          <w:sz w:val="22"/>
          <w:szCs w:val="22"/>
        </w:rPr>
        <w:t xml:space="preserve">Step 1: Construct hourly wages. </w:t>
      </w:r>
      <w:r>
        <w:rPr>
          <w:rFonts w:ascii="Arial" w:cs="Arial" w:eastAsia="Arial" w:hAnsi="Arial"/>
          <w:i/>
          <w:iCs/>
          <w:sz w:val="22"/>
          <w:szCs w:val="22"/>
        </w:rPr>
        <w:t xml:space="preserve">[Project-specific adaptation] </w:t>
      </w:r>
      <w:r>
        <w:rPr>
          <w:rFonts w:ascii="Arial" w:cs="Arial" w:eastAsia="Arial" w:hAnsi="Arial"/>
          <w:sz w:val="22"/>
          <w:szCs w:val="22"/>
        </w:rPr>
        <w:t xml:space="preserve">In nlsy_long_pre_taxsim.dta: gen hourly_wage = pwages / annual_hours if annual_hours &gt;= 520 &amp; annual_hours &lt;= 4160. The floor (520 = 10 hrs/week) and ceiling (4160 = 80 hrs/week) trim implausible reports. Compute log_wage = log(hourly_wage). BSX do not need this step because SIPP measures hourly wages directly. Report the distribution of annual_hours and the fraction of observations trimmed.</w:t>
      </w:r>
    </w:p>
    <w:p>
      <w:pPr>
        <w:spacing w:after="120"/>
      </w:pPr>
      <w:r>
        <w:rPr>
          <w:rFonts w:ascii="Arial" w:cs="Arial" w:eastAsia="Arial" w:hAnsi="Arial"/>
          <w:b/>
          <w:bCs/>
          <w:sz w:val="22"/>
          <w:szCs w:val="22"/>
        </w:rPr>
        <w:t xml:space="preserve">Step 2: Merge industry codes. </w:t>
      </w:r>
      <w:r>
        <w:rPr>
          <w:rFonts w:ascii="Arial" w:cs="Arial" w:eastAsia="Arial" w:hAnsi="Arial"/>
          <w:i/>
          <w:iCs/>
          <w:sz w:val="22"/>
          <w:szCs w:val="22"/>
        </w:rPr>
        <w:t xml:space="preserve">[Paper-faithful] </w:t>
      </w:r>
      <w:r>
        <w:rPr>
          <w:rFonts w:ascii="Arial" w:cs="Arial" w:eastAsia="Arial" w:hAnsi="Arial"/>
          <w:sz w:val="22"/>
          <w:szCs w:val="22"/>
        </w:rPr>
        <w:t xml:space="preserve">Merge your existing occ_ind_data.dta with ind_broad by taxsimid and year. Restrict to years with valid industry codes (1979–1993).</w:t>
      </w:r>
    </w:p>
    <w:p>
      <w:pPr>
        <w:spacing w:after="120"/>
      </w:pPr>
      <w:r>
        <w:rPr>
          <w:rFonts w:ascii="Arial" w:cs="Arial" w:eastAsia="Arial" w:hAnsi="Arial"/>
          <w:b/>
          <w:bCs/>
          <w:sz w:val="22"/>
          <w:szCs w:val="22"/>
        </w:rPr>
        <w:t xml:space="preserve">Step 3: Construct 3-year leads. </w:t>
      </w:r>
      <w:r>
        <w:rPr>
          <w:rFonts w:ascii="Arial" w:cs="Arial" w:eastAsia="Arial" w:hAnsi="Arial"/>
          <w:i/>
          <w:iCs/>
          <w:sz w:val="22"/>
          <w:szCs w:val="22"/>
        </w:rPr>
        <w:t xml:space="preserve">[Paper-faithful] </w:t>
      </w:r>
      <w:r>
        <w:rPr>
          <w:rFonts w:ascii="Arial" w:cs="Arial" w:eastAsia="Arial" w:hAnsi="Arial"/>
          <w:sz w:val="22"/>
          <w:szCs w:val="22"/>
        </w:rPr>
        <w:t xml:space="preserve">Sort by taxsimid year. By taxsimid: gen log_wage_t3 = log_wage[_n+3], gen log_income_t3 = log_income[_n+3], etc. Drop if year gap to lead ≠ 3 (verify consecutive annual data).</w:t>
      </w:r>
    </w:p>
    <w:p>
      <w:pPr>
        <w:spacing w:after="120"/>
      </w:pPr>
      <w:r>
        <w:rPr>
          <w:rFonts w:ascii="Arial" w:cs="Arial" w:eastAsia="Arial" w:hAnsi="Arial"/>
          <w:b/>
          <w:bCs/>
          <w:sz w:val="22"/>
          <w:szCs w:val="22"/>
        </w:rPr>
        <w:t xml:space="preserve">Step 4: Construct the LOO instrument. </w:t>
      </w:r>
      <w:r>
        <w:rPr>
          <w:rFonts w:ascii="Arial" w:cs="Arial" w:eastAsia="Arial" w:hAnsi="Arial"/>
          <w:i/>
          <w:iCs/>
          <w:sz w:val="22"/>
          <w:szCs w:val="22"/>
        </w:rPr>
        <w:t xml:space="preserve">[Paper-faithful in design; exploratory in NLSY context] </w:t>
      </w:r>
      <w:r>
        <w:rPr>
          <w:rFonts w:ascii="Arial" w:cs="Arial" w:eastAsia="Arial" w:hAnsi="Arial"/>
          <w:sz w:val="22"/>
          <w:szCs w:val="22"/>
        </w:rPr>
        <w:t xml:space="preserve">For each individual i in base year t: (a) Identify cohort C(i,t) = all others with same ind_broad_t and year t. (b) Compute: LOO_earnings_t = total pwages of cohort at t, excluding i. LOO_hours_t = total annual_hours of cohort at t, excluding i. Same for t+3. (c) Instrument = log(LOO_earnings_t3 / LOO_hours_t3) − log(LOO_earnings_t / LOO_hours_t). In Stata, this requires bysort + egen totals, then subtracting own values. Drop observations where cohort has fewer than 5 other workers at either t or t+3. Report distribution of cohort sizes.</w:t>
      </w:r>
    </w:p>
    <w:p>
      <w:pPr>
        <w:spacing w:after="120"/>
      </w:pPr>
      <w:r>
        <w:rPr>
          <w:rFonts w:ascii="Arial" w:cs="Arial" w:eastAsia="Arial" w:hAnsi="Arial"/>
          <w:b/>
          <w:bCs/>
          <w:sz w:val="22"/>
          <w:szCs w:val="22"/>
        </w:rPr>
        <w:t xml:space="preserve">Step 5: Apply sample restrictions. </w:t>
      </w:r>
      <w:r>
        <w:rPr>
          <w:rFonts w:ascii="Arial" w:cs="Arial" w:eastAsia="Arial" w:hAnsi="Arial"/>
          <w:i/>
          <w:iCs/>
          <w:sz w:val="22"/>
          <w:szCs w:val="22"/>
        </w:rPr>
        <w:t xml:space="preserve">[Project-specific adaptation] </w:t>
      </w:r>
      <w:r>
        <w:rPr>
          <w:rFonts w:ascii="Arial" w:cs="Arial" w:eastAsia="Arial" w:hAnsi="Arial"/>
          <w:sz w:val="22"/>
          <w:szCs w:val="22"/>
        </w:rPr>
        <w:t xml:space="preserve">Same pipeline as your existing tax elasticity: real income floor, marital stability, valid wages at both endpoints, valid instrument. Additionally: drop if hourly wage &lt; $2 or &gt; $200 in real terms (extreme outlier check). Report sample flow table.</w:t>
      </w:r>
    </w:p>
    <w:p>
      <w:pPr>
        <w:spacing w:after="120"/>
      </w:pPr>
      <w:r>
        <w:rPr>
          <w:rFonts w:ascii="Arial" w:cs="Arial" w:eastAsia="Arial" w:hAnsi="Arial"/>
          <w:b/>
          <w:bCs/>
          <w:sz w:val="22"/>
          <w:szCs w:val="22"/>
        </w:rPr>
        <w:t xml:space="preserve">Step 6: Run regressions. </w:t>
      </w:r>
      <w:r>
        <w:rPr>
          <w:rFonts w:ascii="Arial" w:cs="Arial" w:eastAsia="Arial" w:hAnsi="Arial"/>
          <w:i/>
          <w:iCs/>
          <w:sz w:val="22"/>
          <w:szCs w:val="22"/>
        </w:rPr>
        <w:t xml:space="preserve">[Paper-faithful] </w:t>
      </w:r>
      <w:r>
        <w:rPr>
          <w:rFonts w:ascii="Arial" w:cs="Arial" w:eastAsia="Arial" w:hAnsi="Arial"/>
          <w:sz w:val="22"/>
          <w:szCs w:val="22"/>
        </w:rPr>
        <w:t xml:space="preserve">(a) OLS: regress Δlog_income on Δlog_wage + controls. (b) 2SLS: ivregress 2sls Δlog_income (Δlog_wage = LOO_instrument) + controls, cluster(taxsimid). Report first-stage F, first-stage coefficient, and reduced-form effect of instrument on income.</w:t>
      </w:r>
    </w:p>
    <w:p>
      <w:pPr>
        <w:spacing w:after="120"/>
      </w:pPr>
      <w:r>
        <w:rPr>
          <w:rFonts w:ascii="Arial" w:cs="Arial" w:eastAsia="Arial" w:hAnsi="Arial"/>
          <w:b/>
          <w:bCs/>
          <w:sz w:val="22"/>
          <w:szCs w:val="22"/>
        </w:rPr>
        <w:t xml:space="preserve">Step 7: Robustness and diagnostics. </w:t>
      </w:r>
      <w:r>
        <w:rPr>
          <w:rFonts w:ascii="Arial" w:cs="Arial" w:eastAsia="Arial" w:hAnsi="Arial"/>
          <w:i/>
          <w:iCs/>
          <w:sz w:val="22"/>
          <w:szCs w:val="22"/>
        </w:rPr>
        <w:t xml:space="preserve">[Project-specific; addresses Part 4 concerns] </w:t>
      </w:r>
      <w:r>
        <w:rPr>
          <w:rFonts w:ascii="Arial" w:cs="Arial" w:eastAsia="Arial" w:hAnsi="Arial"/>
          <w:sz w:val="22"/>
          <w:szCs w:val="22"/>
        </w:rPr>
        <w:t xml:space="preserve">(a) Re-run with Δlog(pwages) as DV instead of Δlog(z)—this isolates the mechanical overlap issue. If the coefficient is close to 1, the instrument is mostly capturing the pwages component. (b) Report industry cell size distributions (min, p25, median, p75, max). (c) Drop industries with &lt;30 workers and re-estimate. (d) Test for weak instrument using Stock-Yogo thresholds. (e) Compare OLS vs. 2SLS to assess direction of bias. (f) Run reduced form: regress Δlog_income directly on LOO instrument + controls; the reduced-form coefficient should be interpretable even if exclusion restriction concerns weaken the structural 2SLS interpretation.</w:t>
      </w:r>
    </w:p>
    <w:p>
      <w:pPr>
        <w:spacing w:after="80"/>
      </w:pPr>
    </w:p>
    <w:p>
      <w:pPr>
        <w:pStyle w:val="Heading2"/>
      </w:pPr>
      <w:r>
        <w:rPr>
          <w:rFonts w:ascii="Arial" w:cs="Arial" w:eastAsia="Arial" w:hAnsi="Arial"/>
          <w:b/>
          <w:bCs/>
          <w:sz w:val="28"/>
          <w:szCs w:val="28"/>
        </w:rPr>
        <w:t xml:space="preserve">Priority 2: Joint Tax + Wage Elasticity Comparison [HIGH VALUE, LOW EFFORT]</w:t>
      </w:r>
    </w:p>
    <w:p>
      <w:pPr>
        <w:spacing w:after="120"/>
      </w:pPr>
      <w:r>
        <w:rPr>
          <w:rFonts w:ascii="Arial" w:cs="Arial" w:eastAsia="Arial" w:hAnsi="Arial"/>
          <w:b/>
          <w:bCs/>
          <w:sz w:val="22"/>
          <w:szCs w:val="22"/>
        </w:rPr>
        <w:t xml:space="preserve">What to do. </w:t>
      </w:r>
      <w:r>
        <w:rPr>
          <w:rFonts w:ascii="Arial" w:cs="Arial" w:eastAsia="Arial" w:hAnsi="Arial"/>
          <w:i/>
          <w:iCs/>
          <w:sz w:val="22"/>
          <w:szCs w:val="22"/>
        </w:rPr>
        <w:t xml:space="preserve">[Paper-faithful in concept; project-specific in interpretation] </w:t>
      </w:r>
      <w:r>
        <w:rPr>
          <w:rFonts w:ascii="Arial" w:cs="Arial" w:eastAsia="Arial" w:hAnsi="Arial"/>
          <w:sz w:val="22"/>
          <w:szCs w:val="22"/>
        </w:rPr>
        <w:t xml:space="preserve">Estimate both the tax and wage elasticity regressions on the same sample (the intersection of observations with valid tax and wage instruments, annual period). Present a side-by-side table.</w:t>
      </w:r>
    </w:p>
    <w:p>
      <w:pPr>
        <w:spacing w:after="120"/>
      </w:pPr>
      <w:r>
        <w:rPr>
          <w:rFonts w:ascii="Arial" w:cs="Arial" w:eastAsia="Arial" w:hAnsi="Arial"/>
          <w:b/>
          <w:bCs/>
          <w:sz w:val="22"/>
          <w:szCs w:val="22"/>
        </w:rPr>
        <w:t xml:space="preserve">What to report. </w:t>
      </w:r>
      <w:r>
        <w:rPr>
          <w:rFonts w:ascii="Arial" w:cs="Arial" w:eastAsia="Arial" w:hAnsi="Arial"/>
          <w:sz w:val="22"/>
          <w:szCs w:val="22"/>
        </w:rPr>
        <w:t xml:space="preserve">(a) Tax elasticity ζ from 2SLS. (b) Wage elasticity ε_w from 2SLS. (c) The difference ε_w − ζ. (d) First-stage F-statistics for both.</w:t>
      </w:r>
    </w:p>
    <w:p>
      <w:pPr>
        <w:spacing w:after="120"/>
      </w:pPr>
      <w:r>
        <w:rPr>
          <w:rFonts w:ascii="Arial" w:cs="Arial" w:eastAsia="Arial" w:hAnsi="Arial"/>
          <w:b/>
          <w:bCs/>
          <w:sz w:val="22"/>
          <w:szCs w:val="22"/>
        </w:rPr>
        <w:t xml:space="preserve">What not to claim. </w:t>
      </w:r>
      <w:r>
        <w:rPr>
          <w:rFonts w:ascii="Arial" w:cs="Arial" w:eastAsia="Arial" w:hAnsi="Arial"/>
          <w:sz w:val="22"/>
          <w:szCs w:val="22"/>
        </w:rPr>
        <w:t xml:space="preserve">The paper’s baseline model predicts ε_w = 1 + ζ under quasilinear preferences and no tax avoidance. This is a model implication under specific assumptions, not a universal prediction. You should present the comparison descriptively—“the estimated wage elasticity is X, and the estimated tax elasticity is Y; in the paper’s baseline model, these would differ by one”—rather than treating departures as definitive evidence for or against tax avoidance. Multiple confounds (measurement error, instrument differences, functional form) could explain departures.</w:t>
      </w:r>
    </w:p>
    <w:p>
      <w:pPr>
        <w:spacing w:after="80"/>
      </w:pPr>
    </w:p>
    <w:p>
      <w:pPr>
        <w:pStyle w:val="Heading2"/>
      </w:pPr>
      <w:r>
        <w:rPr>
          <w:rFonts w:ascii="Arial" w:cs="Arial" w:eastAsia="Arial" w:hAnsi="Arial"/>
          <w:b/>
          <w:bCs/>
          <w:sz w:val="28"/>
          <w:szCs w:val="28"/>
        </w:rPr>
        <w:t xml:space="preserve">Priority 3: Heterogeneous Elasticities via GRF [MEDIUM VALUE, HIGH EFFORT]</w:t>
      </w:r>
    </w:p>
    <w:p>
      <w:pPr>
        <w:spacing w:after="120"/>
      </w:pPr>
      <w:r>
        <w:rPr>
          <w:rFonts w:ascii="Arial" w:cs="Arial" w:eastAsia="Arial" w:hAnsi="Arial"/>
          <w:b/>
          <w:bCs/>
          <w:sz w:val="22"/>
          <w:szCs w:val="22"/>
        </w:rPr>
        <w:t xml:space="preserve">Step 1: Export data. </w:t>
      </w:r>
      <w:r>
        <w:rPr>
          <w:rFonts w:ascii="Arial" w:cs="Arial" w:eastAsia="Arial" w:hAnsi="Arial"/>
          <w:i/>
          <w:iCs/>
          <w:sz w:val="22"/>
          <w:szCs w:val="22"/>
        </w:rPr>
        <w:t xml:space="preserve">[Project-specific] </w:t>
      </w:r>
      <w:r>
        <w:rPr>
          <w:rFonts w:ascii="Arial" w:cs="Arial" w:eastAsia="Arial" w:hAnsi="Arial"/>
          <w:sz w:val="22"/>
          <w:szCs w:val="22"/>
        </w:rPr>
        <w:t xml:space="preserve">From Stata, export the analysis sample to CSV with all required variables: outcome, treatment, instrument, and covariates.</w:t>
      </w:r>
    </w:p>
    <w:p>
      <w:pPr>
        <w:spacing w:after="120"/>
      </w:pPr>
      <w:r>
        <w:rPr>
          <w:rFonts w:ascii="Arial" w:cs="Arial" w:eastAsia="Arial" w:hAnsi="Arial"/>
          <w:b/>
          <w:bCs/>
          <w:sz w:val="22"/>
          <w:szCs w:val="22"/>
        </w:rPr>
        <w:t xml:space="preserve">Step 2: Pre-residualize in R. </w:t>
      </w:r>
      <w:r>
        <w:rPr>
          <w:rFonts w:ascii="Arial" w:cs="Arial" w:eastAsia="Arial" w:hAnsi="Arial"/>
          <w:i/>
          <w:iCs/>
          <w:sz w:val="22"/>
          <w:szCs w:val="22"/>
        </w:rPr>
        <w:t xml:space="preserve">[Paper-faithful, with one adaptation] </w:t>
      </w:r>
      <w:r>
        <w:rPr>
          <w:rFonts w:ascii="Arial" w:cs="Arial" w:eastAsia="Arial" w:hAnsi="Arial"/>
          <w:sz w:val="22"/>
          <w:szCs w:val="22"/>
        </w:rPr>
        <w:t xml:space="preserve">Residualize Y, W, Z on: marital status + year dummies + 10-piece income splines. BSX additionally include state-year FE; you should use year FE only, since NLSY state-year cells may be too thin. Document this deviation.</w:t>
      </w:r>
    </w:p>
    <w:p>
      <w:pPr>
        <w:spacing w:after="120"/>
      </w:pPr>
      <w:r>
        <w:rPr>
          <w:rFonts w:ascii="Arial" w:cs="Arial" w:eastAsia="Arial" w:hAnsi="Arial"/>
          <w:b/>
          <w:bCs/>
          <w:sz w:val="22"/>
          <w:szCs w:val="22"/>
        </w:rPr>
        <w:t xml:space="preserve">Step 3: Run instrumental forests. </w:t>
      </w:r>
      <w:r>
        <w:rPr>
          <w:rFonts w:ascii="Arial" w:cs="Arial" w:eastAsia="Arial" w:hAnsi="Arial"/>
          <w:i/>
          <w:iCs/>
          <w:sz w:val="22"/>
          <w:szCs w:val="22"/>
        </w:rPr>
        <w:t xml:space="preserve">[Paper-faithful] </w:t>
      </w:r>
      <w:r>
        <w:rPr>
          <w:rFonts w:ascii="Arial" w:cs="Arial" w:eastAsia="Arial" w:hAnsi="Arial"/>
          <w:sz w:val="22"/>
          <w:szCs w:val="22"/>
        </w:rPr>
        <w:t xml:space="preserve">Two runs: one for tax elasticity (β), one for wage elasticity (ε_w). Use grf::instrumental_forest(). Hyperparameters: num.trees = 2000, min.node.size = 20 as starting values. Extract predictions and variable importance.</w:t>
      </w:r>
    </w:p>
    <w:p>
      <w:pPr>
        <w:spacing w:after="120"/>
      </w:pPr>
      <w:r>
        <w:rPr>
          <w:rFonts w:ascii="Arial" w:cs="Arial" w:eastAsia="Arial" w:hAnsi="Arial"/>
          <w:b/>
          <w:bCs/>
          <w:sz w:val="22"/>
          <w:szCs w:val="22"/>
        </w:rPr>
        <w:t xml:space="preserve">Step 4: Validate. </w:t>
      </w:r>
      <w:r>
        <w:rPr>
          <w:rFonts w:ascii="Arial" w:cs="Arial" w:eastAsia="Arial" w:hAnsi="Arial"/>
          <w:i/>
          <w:iCs/>
          <w:sz w:val="22"/>
          <w:szCs w:val="22"/>
        </w:rPr>
        <w:t xml:space="preserve">[Project-specific] </w:t>
      </w:r>
      <w:r>
        <w:rPr>
          <w:rFonts w:ascii="Arial" w:cs="Arial" w:eastAsia="Arial" w:hAnsi="Arial"/>
          <w:sz w:val="22"/>
          <w:szCs w:val="22"/>
        </w:rPr>
        <w:t xml:space="preserve">(a) Average predicted tax elasticity should be in the neighborhood of your 2SLS point estimate (not necessarily identical—GRF identifies heterogeneous conditional effects). (b) Variable importance plot (analog of Figure 7). (c) Check for negative predicted elasticities—some are expected from noise, but a large fraction suggests specification problems. (d) Plot predicted elasticities against income percentile to check for sensible patterns.</w:t>
      </w:r>
    </w:p>
    <w:p>
      <w:pPr>
        <w:spacing w:after="120"/>
      </w:pPr>
      <w:r>
        <w:rPr>
          <w:rFonts w:ascii="Arial" w:cs="Arial" w:eastAsia="Arial" w:hAnsi="Arial"/>
          <w:b/>
          <w:bCs/>
          <w:sz w:val="22"/>
          <w:szCs w:val="22"/>
        </w:rPr>
        <w:t xml:space="preserve">Step 5: Export predictions back to Stata. </w:t>
      </w:r>
      <w:r>
        <w:rPr>
          <w:rFonts w:ascii="Arial" w:cs="Arial" w:eastAsia="Arial" w:hAnsi="Arial"/>
          <w:i/>
          <w:iCs/>
          <w:sz w:val="22"/>
          <w:szCs w:val="22"/>
        </w:rPr>
        <w:t xml:space="preserve">[Project-specific workflow] </w:t>
      </w:r>
      <w:r>
        <w:rPr>
          <w:rFonts w:ascii="Arial" w:cs="Arial" w:eastAsia="Arial" w:hAnsi="Arial"/>
          <w:sz w:val="22"/>
          <w:szCs w:val="22"/>
        </w:rPr>
        <w:t xml:space="preserve">Save β̂_i and ε̂_{w,i} as CSV, merge back by taxsimid and year. Produce heatmap (Figure 4 analog).</w:t>
      </w:r>
    </w:p>
    <w:p>
      <w:pPr>
        <w:spacing w:after="80"/>
      </w:pPr>
    </w:p>
    <w:p>
      <w:pPr>
        <w:pStyle w:val="Heading2"/>
      </w:pPr>
      <w:r>
        <w:rPr>
          <w:rFonts w:ascii="Arial" w:cs="Arial" w:eastAsia="Arial" w:hAnsi="Arial"/>
          <w:b/>
          <w:bCs/>
          <w:sz w:val="28"/>
          <w:szCs w:val="28"/>
        </w:rPr>
        <w:t xml:space="preserve">Priority 4: Income-Conditional Correlation [MEDIUM VALUE, MODERATE EFFORT]</w:t>
      </w:r>
    </w:p>
    <w:p>
      <w:pPr>
        <w:spacing w:after="120"/>
      </w:pPr>
      <w:r>
        <w:rPr>
          <w:rFonts w:ascii="Arial" w:cs="Arial" w:eastAsia="Arial" w:hAnsi="Arial"/>
          <w:b/>
          <w:bCs/>
          <w:sz w:val="22"/>
          <w:szCs w:val="22"/>
        </w:rPr>
        <w:t xml:space="preserve">Step 1: Year-demean log income. </w:t>
      </w:r>
      <w:r>
        <w:rPr>
          <w:rFonts w:ascii="Arial" w:cs="Arial" w:eastAsia="Arial" w:hAnsi="Arial"/>
          <w:i/>
          <w:iCs/>
          <w:sz w:val="22"/>
          <w:szCs w:val="22"/>
        </w:rPr>
        <w:t xml:space="preserve">[Paper-faithful] </w:t>
      </w:r>
      <w:r>
        <w:rPr>
          <w:rFonts w:ascii="Arial" w:cs="Arial" w:eastAsia="Arial" w:hAnsi="Arial"/>
          <w:sz w:val="22"/>
          <w:szCs w:val="22"/>
        </w:rPr>
        <w:t xml:space="preserve">Compute ~{z}_{i,t} = log(z_{i,t}) − mean(log(z_{·,t})) for each year t.</w:t>
      </w:r>
    </w:p>
    <w:p>
      <w:pPr>
        <w:spacing w:after="120"/>
      </w:pPr>
      <w:r>
        <w:rPr>
          <w:rFonts w:ascii="Arial" w:cs="Arial" w:eastAsia="Arial" w:hAnsi="Arial"/>
          <w:b/>
          <w:bCs/>
          <w:sz w:val="22"/>
          <w:szCs w:val="22"/>
        </w:rPr>
        <w:t xml:space="preserve">Step 2: Local linear regressions. </w:t>
      </w:r>
      <w:r>
        <w:rPr>
          <w:rFonts w:ascii="Arial" w:cs="Arial" w:eastAsia="Arial" w:hAnsi="Arial"/>
          <w:i/>
          <w:iCs/>
          <w:sz w:val="22"/>
          <w:szCs w:val="22"/>
        </w:rPr>
        <w:t xml:space="preserve">[Paper-faithful] </w:t>
      </w:r>
      <w:r>
        <w:rPr>
          <w:rFonts w:ascii="Arial" w:cs="Arial" w:eastAsia="Arial" w:hAnsi="Arial"/>
          <w:sz w:val="22"/>
          <w:szCs w:val="22"/>
        </w:rPr>
        <w:t xml:space="preserve">Regress β̂ and ε̂_w on ~{z} using local polynomial (lpoly in Stata or locpoly in R). Bandwidth = 0.2 following BSX. Then regress residual products and squared residuals similarly (Eq. 36).</w:t>
      </w:r>
    </w:p>
    <w:p>
      <w:pPr>
        <w:spacing w:after="120"/>
      </w:pPr>
      <w:r>
        <w:rPr>
          <w:rFonts w:ascii="Arial" w:cs="Arial" w:eastAsia="Arial" w:hAnsi="Arial"/>
          <w:b/>
          <w:bCs/>
          <w:sz w:val="22"/>
          <w:szCs w:val="22"/>
        </w:rPr>
        <w:t xml:space="preserve">Step 3: Compute plug-in correlation. </w:t>
      </w:r>
      <w:r>
        <w:rPr>
          <w:rFonts w:ascii="Arial" w:cs="Arial" w:eastAsia="Arial" w:hAnsi="Arial"/>
          <w:i/>
          <w:iCs/>
          <w:sz w:val="22"/>
          <w:szCs w:val="22"/>
        </w:rPr>
        <w:t xml:space="preserve">[Paper-faithful] </w:t>
      </w:r>
      <w:r>
        <w:rPr>
          <w:rFonts w:ascii="Arial" w:cs="Arial" w:eastAsia="Arial" w:hAnsi="Arial"/>
          <w:sz w:val="22"/>
          <w:szCs w:val="22"/>
        </w:rPr>
        <w:t xml:space="preserve">Apply Eq. 37 on a grid of income percentiles.</w:t>
      </w:r>
    </w:p>
    <w:p>
      <w:pPr>
        <w:spacing w:after="120"/>
      </w:pPr>
      <w:r>
        <w:rPr>
          <w:rFonts w:ascii="Arial" w:cs="Arial" w:eastAsia="Arial" w:hAnsi="Arial"/>
          <w:b/>
          <w:bCs/>
          <w:sz w:val="22"/>
          <w:szCs w:val="22"/>
        </w:rPr>
        <w:t xml:space="preserve">Step 4: Bootstrap. </w:t>
      </w:r>
      <w:r>
        <w:rPr>
          <w:rFonts w:ascii="Arial" w:cs="Arial" w:eastAsia="Arial" w:hAnsi="Arial"/>
          <w:i/>
          <w:iCs/>
          <w:sz w:val="22"/>
          <w:szCs w:val="22"/>
        </w:rPr>
        <w:t xml:space="preserve">[Exploratory approximation initially] </w:t>
      </w:r>
      <w:r>
        <w:rPr>
          <w:rFonts w:ascii="Arial" w:cs="Arial" w:eastAsia="Arial" w:hAnsi="Arial"/>
          <w:sz w:val="22"/>
          <w:szCs w:val="22"/>
        </w:rPr>
        <w:t xml:space="preserve">Start with 100 bootstrap reps (each redraws data and re-runs full GRF + local regressions) to assess feasibility and rough confidence intervals. Scale to 300 reps for the final version if computational time is manageable. BSX use 300 reps and note they plan to eventually use 1,000.</w:t>
      </w:r>
    </w:p>
    <w:p>
      <w:pPr>
        <w:spacing w:after="120"/>
      </w:pPr>
      <w:r>
        <w:rPr>
          <w:rFonts w:ascii="Arial" w:cs="Arial" w:eastAsia="Arial" w:hAnsi="Arial"/>
          <w:b/>
          <w:bCs/>
          <w:sz w:val="22"/>
          <w:szCs w:val="22"/>
        </w:rPr>
        <w:t xml:space="preserve">Step 5: Produce Figure 5 analog. </w:t>
      </w:r>
      <w:r>
        <w:rPr>
          <w:rFonts w:ascii="Arial" w:cs="Arial" w:eastAsia="Arial" w:hAnsi="Arial"/>
          <w:i/>
          <w:iCs/>
          <w:sz w:val="22"/>
          <w:szCs w:val="22"/>
        </w:rPr>
        <w:t xml:space="preserve">[Paper-faithful] </w:t>
      </w:r>
      <w:r>
        <w:rPr>
          <w:rFonts w:ascii="Arial" w:cs="Arial" w:eastAsia="Arial" w:hAnsi="Arial"/>
          <w:sz w:val="22"/>
          <w:szCs w:val="22"/>
        </w:rPr>
        <w:t xml:space="preserve">Plot ψ̂(~{z}) across income percentiles with 95% CIs. Report average correlation ψ̂.</w:t>
      </w:r>
    </w:p>
    <w:p>
      <w:pPr>
        <w:spacing w:after="80"/>
      </w:pPr>
    </w:p>
    <w:p>
      <w:pPr>
        <w:pStyle w:val="Heading2"/>
      </w:pPr>
      <w:r>
        <w:rPr>
          <w:rFonts w:ascii="Arial" w:cs="Arial" w:eastAsia="Arial" w:hAnsi="Arial"/>
          <w:b/>
          <w:bCs/>
          <w:sz w:val="28"/>
          <w:szCs w:val="28"/>
        </w:rPr>
        <w:t xml:space="preserve">Priority 5: Back-of-Envelope Quantification [LOW STANDALONE VALUE, LOW EFFORT]</w:t>
      </w:r>
    </w:p>
    <w:p>
      <w:pPr>
        <w:spacing w:after="120"/>
      </w:pPr>
      <w:r>
        <w:rPr>
          <w:rFonts w:ascii="Arial" w:cs="Arial" w:eastAsia="Arial" w:hAnsi="Arial"/>
          <w:i/>
          <w:iCs/>
          <w:sz w:val="22"/>
          <w:szCs w:val="22"/>
        </w:rPr>
        <w:t xml:space="preserve">[Exploratory approximation] </w:t>
      </w:r>
      <w:r>
        <w:rPr>
          <w:rFonts w:ascii="Arial" w:cs="Arial" w:eastAsia="Arial" w:hAnsi="Arial"/>
          <w:sz w:val="22"/>
          <w:szCs w:val="22"/>
        </w:rPr>
        <w:t xml:space="preserve">If you produce your own correlation estimate from NLSY, you can plug it into the paper’s formula (Eq. 40) alongside published inputs. This is a simple calculation. However, the quantification inherits all the caveats from Part 4 (your correlation estimate may be noisier than BSX’s) plus the approximations the paper itself flags (e.g., the assumption that half of observed wage growth is productivity-driven). Present it explicitly as an illustrative exercise, not a structural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Input</w:t>
            </w:r>
          </w:p>
        </w:tc>
        <w:tc>
          <w:tcPr>
            <w:tcW w:type="dxa" w:w="4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Source for Your Version</w:t>
            </w:r>
          </w:p>
        </w:tc>
        <w:tc>
          <w:tcPr>
            <w:tcW w:type="dxa" w:w="27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Classification</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Productivity growth</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Published values (same as paper)</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Paper-faithful (using external data)</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α̃ (second-order Pareto shape)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WID published values</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Paper-faithful (using external data)</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Var(ε) (within-income ETI variance)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GRF estimates (Priority 3) or published lower bound</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Project-specific if own; paper-faithful if published</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Mean ETI at top</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Your 2SLS estimate or literature value</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Project-specific if own estimate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Correlation ψ</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Your Priority 4 estimate</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Project-specific</w:t>
            </w:r>
          </w:p>
        </w:tc>
      </w:tr>
    </w:tbl>
    <w:p>
      <w:r>
        <w:br w:type="page"/>
      </w:r>
    </w:p>
    <w:p>
      <w:pPr>
        <w:pStyle w:val="Heading1"/>
      </w:pPr>
      <w:r>
        <w:rPr>
          <w:rFonts w:ascii="Arial" w:cs="Arial" w:eastAsia="Arial" w:hAnsi="Arial"/>
          <w:b/>
          <w:bCs/>
          <w:sz w:val="32"/>
          <w:szCs w:val="32"/>
        </w:rPr>
        <w:t xml:space="preserve">Part 6: Variable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Paper Variable</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NLSY Equivalent</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3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Action / Classification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Taxable income (z)</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Broad income (existing)</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Already constructed. [Paper-faithful]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MTR (T′)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frate + srate from TAXSIM</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Already constructed. [Paper-faithful]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Simulated MTR instrument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Counterfactual TAXSIM</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Already constructed. [Paper-faithful]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Hourly wage (w)</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Must construct: pwages / hours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Needs construction</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See mechanical overlap discussion (Part 4). [Project-specific]</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Industry for LOO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ind_broad (12 categories, 1979–93)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Broader than BSX likely used. [Project-specific]</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LOO wage instrument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Not yet built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Needs construction</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Priority 1, Step 4. [Exploratory approximation]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Sex, mstat, depx, education, age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All available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[Paper-faithful]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Years at current job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Not directly available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Investigate</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Check NLSY tenure variables. [Project-specific gap]</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Occupation category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occ_broad (9 categories, 1979–93)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[Paper-faithful]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Self-employment income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psemp (TAXSIM input)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[Paper-faithful]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Mortgage, rent, property tax</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TAXSIM inputs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May have missing values. [Paper-faithful]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State of residence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FIPS code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State-year FE may be infeasible (thin cells). [Project-specific limitation]</w:t>
            </w:r>
          </w:p>
        </w:tc>
      </w:tr>
    </w:tbl>
    <w:p>
      <w:r>
        <w:br w:type="page"/>
      </w:r>
    </w:p>
    <w:p>
      <w:pPr>
        <w:pStyle w:val="Heading1"/>
      </w:pPr>
      <w:r>
        <w:rPr>
          <w:rFonts w:ascii="Arial" w:cs="Arial" w:eastAsia="Arial" w:hAnsi="Arial"/>
          <w:b/>
          <w:bCs/>
          <w:sz w:val="32"/>
          <w:szCs w:val="32"/>
        </w:rPr>
        <w:t xml:space="preserve">Part 7: Strategic Recommendations</w:t>
      </w:r>
    </w:p>
    <w:p>
      <w:pPr>
        <w:pStyle w:val="Heading2"/>
      </w:pPr>
      <w:r>
        <w:rPr>
          <w:rFonts w:ascii="Arial" w:cs="Arial" w:eastAsia="Arial" w:hAnsi="Arial"/>
          <w:b/>
          <w:bCs/>
          <w:sz w:val="28"/>
          <w:szCs w:val="28"/>
        </w:rPr>
        <w:t xml:space="preserve">7.1 What Your Project Contributes That BSX Cannot</w:t>
      </w:r>
    </w:p>
    <w:p>
      <w:pPr>
        <w:spacing w:after="120"/>
      </w:pPr>
      <w:r>
        <w:rPr>
          <w:rFonts w:ascii="Arial" w:cs="Arial" w:eastAsia="Arial" w:hAnsi="Arial"/>
          <w:sz w:val="22"/>
          <w:szCs w:val="22"/>
        </w:rPr>
        <w:t xml:space="preserve">Your NLSY79 project is not a replication of BSX, nor should it be framed as one. The SIPP and NLSY designs answer different questions. BSX use SIPP’s cross-sectional breadth (multiple cohorts, large state-level cells) to estimate the cross-sectional correlation of wage and tax elasticities at a point in time. Your NLSY project tracks the same individuals over four decades, which enables a distinct contribution: studying how elasticities evolve within individuals over the lifecycle. Specifically:</w:t>
      </w:r>
    </w:p>
    <w:p>
      <w:pPr>
        <w:spacing w:after="120"/>
      </w:pPr>
      <w:r>
        <w:rPr>
          <w:rFonts w:ascii="Arial" w:cs="Arial" w:eastAsia="Arial" w:hAnsi="Arial"/>
          <w:b/>
          <w:bCs/>
          <w:sz w:val="22"/>
          <w:szCs w:val="22"/>
        </w:rPr>
        <w:t xml:space="preserve">1. Within-person elasticity dynamics. </w:t>
      </w:r>
      <w:r>
        <w:rPr>
          <w:rFonts w:ascii="Arial" w:cs="Arial" w:eastAsia="Arial" w:hAnsi="Arial"/>
          <w:sz w:val="22"/>
          <w:szCs w:val="22"/>
        </w:rPr>
        <w:t xml:space="preserve">Your finding that biennial-period ETI (0.54) exceeds annual-period ETI (−0.09, n.s.) could reflect the same cohort becoming more tax-elastic as it ages into higher incomes and gains more scope for adjustment (e.g., via self-employment, deductions, retirement contributions). This is a lifecycle version of the paper’s cross-sectional sorting story—but observed within persons rather than inferred from cross-sectional distributions. However, the annual-period estimate is not significant, so this comparison should be presented cautiously, noting that the two periods differ in survey structure (annual vs. biennial), sample restrictions, and available tax reforms.</w:t>
      </w:r>
    </w:p>
    <w:p>
      <w:pPr>
        <w:spacing w:after="120"/>
      </w:pPr>
      <w:r>
        <w:rPr>
          <w:rFonts w:ascii="Arial" w:cs="Arial" w:eastAsia="Arial" w:hAnsi="Arial"/>
          <w:b/>
          <w:bCs/>
          <w:sz w:val="22"/>
          <w:szCs w:val="22"/>
        </w:rPr>
        <w:t xml:space="preserve">2. Complementary identification. </w:t>
      </w:r>
      <w:r>
        <w:rPr>
          <w:rFonts w:ascii="Arial" w:cs="Arial" w:eastAsia="Arial" w:hAnsi="Arial"/>
          <w:sz w:val="22"/>
          <w:szCs w:val="22"/>
        </w:rPr>
        <w:t xml:space="preserve">BSX’s state-year variation in SIPP provides geographic identifying variation. Your NLSY project relies more on federal reform episodes (ERTA 1981, TRA 1986, EGTRRA 2001, TCJA 2017) observed within the same cohort. These are different sources of variation that could inform the same underlying parameters. Agreement between the two approaches would strengthen both.</w:t>
      </w:r>
    </w:p>
    <w:p>
      <w:pPr>
        <w:spacing w:after="120"/>
      </w:pPr>
      <w:r>
        <w:rPr>
          <w:rFonts w:ascii="Arial" w:cs="Arial" w:eastAsia="Arial" w:hAnsi="Arial"/>
          <w:b/>
          <w:bCs/>
          <w:sz w:val="22"/>
          <w:szCs w:val="22"/>
        </w:rPr>
        <w:t xml:space="preserve">3. Wage-income link over the lifecycle. </w:t>
      </w:r>
      <w:r>
        <w:rPr>
          <w:rFonts w:ascii="Arial" w:cs="Arial" w:eastAsia="Arial" w:hAnsi="Arial"/>
          <w:sz w:val="22"/>
          <w:szCs w:val="22"/>
        </w:rPr>
        <w:t xml:space="preserve">If you can estimate the wage elasticity (Priority 1) on the annual period, you can compare how wage responsiveness and tax responsiveness relate for the same individuals at the same career stage. BSX estimate this correlation cross-sectionally; you would estimate it for a cohort observed at ages 17–35, a specific window in the lifecycle where human capital accumulation, job-shopping, and industry selection are all active.</w:t>
      </w:r>
    </w:p>
    <w:p>
      <w:pPr>
        <w:pStyle w:val="Heading2"/>
      </w:pPr>
      <w:r>
        <w:rPr>
          <w:rFonts w:ascii="Arial" w:cs="Arial" w:eastAsia="Arial" w:hAnsi="Arial"/>
          <w:b/>
          <w:bCs/>
          <w:sz w:val="28"/>
          <w:szCs w:val="28"/>
        </w:rPr>
        <w:t xml:space="preserve">7.2 Sequencing Advice</w:t>
      </w:r>
    </w:p>
    <w:p>
      <w:pPr>
        <w:spacing w:after="120"/>
      </w:pPr>
      <w:r>
        <w:rPr>
          <w:rFonts w:ascii="Arial" w:cs="Arial" w:eastAsia="Arial" w:hAnsi="Arial"/>
          <w:b/>
          <w:bCs/>
          <w:sz w:val="22"/>
          <w:szCs w:val="22"/>
        </w:rPr>
        <w:t xml:space="preserve">1. Implement Priority 1 (wage elasticity) first. </w:t>
      </w:r>
      <w:r>
        <w:rPr>
          <w:rFonts w:ascii="Arial" w:cs="Arial" w:eastAsia="Arial" w:hAnsi="Arial"/>
          <w:sz w:val="22"/>
          <w:szCs w:val="22"/>
        </w:rPr>
        <w:t xml:space="preserve">This is entirely in Stata, uses existing data, and produces a concrete new result within a few days. Even if the identification is imperfect, the exercise is valuable: it tests whether the LOO instrument has first-stage power in your data, it reveals the magnitude of the mechanical overlap problem, and it provides the second elasticity needed for any engagement with the paper’s framework.</w:t>
      </w:r>
    </w:p>
    <w:p>
      <w:pPr>
        <w:spacing w:after="120"/>
      </w:pPr>
      <w:r>
        <w:rPr>
          <w:rFonts w:ascii="Arial" w:cs="Arial" w:eastAsia="Arial" w:hAnsi="Arial"/>
          <w:b/>
          <w:bCs/>
          <w:sz w:val="22"/>
          <w:szCs w:val="22"/>
        </w:rPr>
        <w:t xml:space="preserve">2. Discuss Priorities 3–4 (GRF + correlation) with Professor Sztutman before investing. </w:t>
      </w:r>
      <w:r>
        <w:rPr>
          <w:rFonts w:ascii="Arial" w:cs="Arial" w:eastAsia="Arial" w:hAnsi="Arial"/>
          <w:sz w:val="22"/>
          <w:szCs w:val="22"/>
        </w:rPr>
        <w:t xml:space="preserve">The instrumental forest step is computationally demanding, requires learning the R grf package, and involves a multi-day pipeline (data export, GRF estimation, bootstrap, re-import). Whether this is worth the time before graduation depends on the project’s scope and timeline. The wage elasticity comparison (Priorities 1–2) alone may be a sufficient contribution.</w:t>
      </w:r>
    </w:p>
    <w:p>
      <w:pPr>
        <w:spacing w:after="120"/>
      </w:pPr>
      <w:r>
        <w:rPr>
          <w:rFonts w:ascii="Arial" w:cs="Arial" w:eastAsia="Arial" w:hAnsi="Arial"/>
          <w:b/>
          <w:bCs/>
          <w:sz w:val="22"/>
          <w:szCs w:val="22"/>
        </w:rPr>
        <w:t xml:space="preserve">3. Present identification caveats transparently. </w:t>
      </w:r>
      <w:r>
        <w:rPr>
          <w:rFonts w:ascii="Arial" w:cs="Arial" w:eastAsia="Arial" w:hAnsi="Arial"/>
          <w:sz w:val="22"/>
          <w:szCs w:val="22"/>
        </w:rPr>
        <w:t xml:space="preserve">The wage regression in NLSY faces real identification challenges (Part 4). Rather than suppressing these, present them openly and let the reduced-form evidence (the direct effect of the LOO instrument on income) carry weight even if the structural 2SLS interpretation is debatable. Reduced-form effects are valid as long as the instrument is exogenous, regardless of exclusion restriction concerns about the structural channel.</w:t>
      </w:r>
    </w:p>
    <w:p>
      <w:pPr>
        <w:spacing w:after="120"/>
      </w:pPr>
      <w:r>
        <w:rPr>
          <w:rFonts w:ascii="Arial" w:cs="Arial" w:eastAsia="Arial" w:hAnsi="Arial"/>
          <w:b/>
          <w:bCs/>
          <w:sz w:val="22"/>
          <w:szCs w:val="22"/>
        </w:rPr>
        <w:t xml:space="preserve">4. Frame the theory benchmarks carefully. </w:t>
      </w:r>
      <w:r>
        <w:rPr>
          <w:rFonts w:ascii="Arial" w:cs="Arial" w:eastAsia="Arial" w:hAnsi="Arial"/>
          <w:sz w:val="22"/>
          <w:szCs w:val="22"/>
        </w:rPr>
        <w:t xml:space="preserve">The paper’s result that ε_w = 1 + ζ holds under quasilinear preferences and constant labor supply elasticity (Assumption 2). The result that the sorting mechanism depends on Corr[β^h, ε^h_w] (Proposition 5) holds under affine taxes. These are model predictions under specific assumptions, not universal empirical laws. When you present your empirical estimates, reference these theoretical benchmarks as one possible interpretation, not as the uniquely correct structural framework.</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375F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2026-03-11T02:59:08.197Z</dcterms:created>
  <dcterms:modified xsi:type="dcterms:W3CDTF">2026-03-11T02:59:08.198Z</dcterms:modified>
</cp:coreProperties>
</file>

<file path=docProps/custom.xml><?xml version="1.0" encoding="utf-8"?>
<Properties xmlns="http://schemas.openxmlformats.org/officeDocument/2006/custom-properties" xmlns:vt="http://schemas.openxmlformats.org/officeDocument/2006/docPropsVTypes"/>
</file>