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Implementation Timeline &amp; Delivery Plan</w:t>
      </w:r>
    </w:p>
    <w:p>
      <w:pPr>
        <w:pStyle w:val="Subtitle"/>
      </w:pPr>
      <w:r>
        <w:t>Option B | Semi-automated workflow — IT-curated Fact Packet + Claude Desktop report authoring</w:t>
      </w:r>
    </w:p>
    <w:p>
      <w:r>
        <w:t>Status: Draft for manager / business review  |  Version: 0.2  |  Prepared: 13 October 2026</w:t>
      </w:r>
    </w:p>
    <w:p>
      <w:r>
        <w:t>Planning note: Dates, owners and effort are estimates pending discovery and resource confirmation.</w:t>
      </w:r>
    </w:p>
    <w:p>
      <w:pPr>
        <w:pStyle w:val="Heading1"/>
      </w:pPr>
      <w:r>
        <w:t>1. Executive summary</w:t>
      </w:r>
    </w:p>
    <w:p>
      <w:r>
        <w:t>The AML and OFAC proof-of-concepts have been validated positively by business users. The proposed first release is a governed, semi-automated workflow: IT receives authorized Ready Assess outputs, normalizes and validates the data, generates a versioned Fact Packet, and provides it to approved Claude Desktop Projects/Artifacts. Business users review, refine and export draft reports, with human sign-off before use.</w:t>
      </w:r>
    </w:p>
    <w:p>
      <w:r>
        <w:t>Recommended plan: an 8-week indicative build and rollout-readiness baseline beginning 19 October 2026, with a controlled pilot possible earlier using approved representative data. A production rollout date remains conditional on vendor output confirmation, authorized actual-data access, security approval, test results and business sign-off. No API or unattended end-to-end integration is assumed.</w:t>
      </w:r>
    </w:p>
    <w:p>
      <w:pPr>
        <w:pStyle w:val="Heading1"/>
      </w:pPr>
      <w:r>
        <w:t>2. Delivery boundaries and assumptions</w:t>
      </w:r>
    </w:p>
    <w:p>
      <w:pPr>
        <w:pStyle w:val="ListBullet"/>
      </w:pPr>
      <w:r>
        <w:t>In scope: AML and OFAC reports; vendor export intake; mapping and quality checks; repeatable Fact Packet creation; two report templates; Claude Project/Artifact instructions; source-to-report traceability; report export; audit evidence; operating guide and UAT.</w:t>
      </w:r>
    </w:p>
    <w:p>
      <w:pPr>
        <w:pStyle w:val="ListBullet"/>
      </w:pPr>
      <w:r>
        <w:t>Out of scope for release 1: autonomous report publication, direct Ready Assess API integration, automated live data pull, unattended Claude submission, enterprise portal or model fine-tuning.</w:t>
      </w:r>
    </w:p>
    <w:p>
      <w:pPr>
        <w:pStyle w:val="ListBullet"/>
      </w:pPr>
      <w:r>
        <w:t>Assumption: approved Claude Desktop usage permits processing of the particular data classification. Real data must not be uploaded until Information Security/Compliance and application owners confirm permissions and controls.</w:t>
      </w:r>
    </w:p>
    <w:p>
      <w:pPr>
        <w:pStyle w:val="ListBullet"/>
      </w:pPr>
      <w:r>
        <w:t>Estimated effort means person-days (PD), not calendar days; ranges assume one primary IT engineer with part-time BA/business/QA support and exclude procurement, vendor delays and approval queues.</w:t>
      </w:r>
    </w:p>
    <w:p>
      <w:pPr>
        <w:pStyle w:val="Heading1"/>
      </w:pPr>
      <w:r>
        <w:t>3. Work packages, effort and deliverables</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shd w:fill="17324F"/>
          </w:tcPr>
          <w:p>
            <w:pPr>
              <w:spacing w:after="40"/>
            </w:pPr>
            <w:r>
              <w:rPr>
                <w:b/>
                <w:color w:val="FFFFFF"/>
                <w:sz w:val="16"/>
              </w:rPr>
              <w:t>ID / Work package</w:t>
            </w:r>
          </w:p>
        </w:tc>
        <w:tc>
          <w:tcPr>
            <w:tcW w:type="dxa" w:w="2462"/>
            <w:shd w:fill="17324F"/>
          </w:tcPr>
          <w:p>
            <w:pPr>
              <w:spacing w:after="40"/>
            </w:pPr>
            <w:r>
              <w:rPr>
                <w:b/>
                <w:color w:val="FFFFFF"/>
                <w:sz w:val="16"/>
              </w:rPr>
              <w:t>Target window</w:t>
            </w:r>
          </w:p>
        </w:tc>
        <w:tc>
          <w:tcPr>
            <w:tcW w:type="dxa" w:w="2462"/>
            <w:shd w:fill="17324F"/>
          </w:tcPr>
          <w:p>
            <w:pPr>
              <w:spacing w:after="40"/>
            </w:pPr>
            <w:r>
              <w:rPr>
                <w:b/>
                <w:color w:val="FFFFFF"/>
                <w:sz w:val="16"/>
              </w:rPr>
              <w:t>Est. effort</w:t>
            </w:r>
          </w:p>
        </w:tc>
        <w:tc>
          <w:tcPr>
            <w:tcW w:type="dxa" w:w="2462"/>
            <w:shd w:fill="17324F"/>
          </w:tcPr>
          <w:p>
            <w:pPr>
              <w:spacing w:after="40"/>
            </w:pPr>
            <w:r>
              <w:rPr>
                <w:b/>
                <w:color w:val="FFFFFF"/>
                <w:sz w:val="16"/>
              </w:rPr>
              <w:t>Exit deliverable</w:t>
            </w:r>
          </w:p>
        </w:tc>
      </w:tr>
      <w:tr>
        <w:tc>
          <w:tcPr>
            <w:tcW w:type="dxa" w:w="2462"/>
            <w:vAlign w:val="center"/>
          </w:tcPr>
          <w:p>
            <w:pPr>
              <w:spacing w:after="40"/>
            </w:pPr>
            <w:r>
              <w:rPr>
                <w:sz w:val="16"/>
              </w:rPr>
              <w:t>WP1 Requirements + FSD baseline</w:t>
            </w:r>
          </w:p>
        </w:tc>
        <w:tc>
          <w:tcPr>
            <w:tcW w:type="dxa" w:w="2462"/>
            <w:vAlign w:val="center"/>
          </w:tcPr>
          <w:p>
            <w:pPr>
              <w:spacing w:after="40"/>
            </w:pPr>
            <w:r>
              <w:rPr>
                <w:sz w:val="16"/>
              </w:rPr>
              <w:t>W1–W2 (Oct 19–30)</w:t>
            </w:r>
          </w:p>
        </w:tc>
        <w:tc>
          <w:tcPr>
            <w:tcW w:type="dxa" w:w="2462"/>
            <w:vAlign w:val="center"/>
          </w:tcPr>
          <w:p>
            <w:pPr>
              <w:spacing w:after="40"/>
            </w:pPr>
            <w:r>
              <w:rPr>
                <w:sz w:val="16"/>
              </w:rPr>
              <w:t>IT 3–5 PD; BA 2–3 PD</w:t>
            </w:r>
          </w:p>
        </w:tc>
        <w:tc>
          <w:tcPr>
            <w:tcW w:type="dxa" w:w="2462"/>
            <w:vAlign w:val="center"/>
          </w:tcPr>
          <w:p>
            <w:pPr>
              <w:spacing w:after="40"/>
            </w:pPr>
            <w:r>
              <w:rPr>
                <w:sz w:val="16"/>
              </w:rPr>
              <w:t>Approved workflow, scope, acceptance tests</w:t>
            </w:r>
          </w:p>
        </w:tc>
      </w:tr>
      <w:tr>
        <w:tc>
          <w:tcPr>
            <w:tcW w:type="dxa" w:w="2462"/>
            <w:vAlign w:val="center"/>
          </w:tcPr>
          <w:p>
            <w:pPr>
              <w:spacing w:after="40"/>
            </w:pPr>
            <w:r>
              <w:rPr>
                <w:sz w:val="16"/>
              </w:rPr>
              <w:t>WP2 Vendor discovery + data contract</w:t>
            </w:r>
          </w:p>
        </w:tc>
        <w:tc>
          <w:tcPr>
            <w:tcW w:type="dxa" w:w="2462"/>
            <w:vAlign w:val="center"/>
          </w:tcPr>
          <w:p>
            <w:pPr>
              <w:spacing w:after="40"/>
            </w:pPr>
            <w:r>
              <w:rPr>
                <w:sz w:val="16"/>
              </w:rPr>
              <w:t>W1–W3 (Oct 19–Nov 6)</w:t>
            </w:r>
          </w:p>
        </w:tc>
        <w:tc>
          <w:tcPr>
            <w:tcW w:type="dxa" w:w="2462"/>
            <w:vAlign w:val="center"/>
          </w:tcPr>
          <w:p>
            <w:pPr>
              <w:spacing w:after="40"/>
            </w:pPr>
            <w:r>
              <w:rPr>
                <w:sz w:val="16"/>
              </w:rPr>
              <w:t>IT 2–4 PD; vendor/BA 2–3 PD</w:t>
            </w:r>
          </w:p>
        </w:tc>
        <w:tc>
          <w:tcPr>
            <w:tcW w:type="dxa" w:w="2462"/>
            <w:vAlign w:val="center"/>
          </w:tcPr>
          <w:p>
            <w:pPr>
              <w:spacing w:after="40"/>
            </w:pPr>
            <w:r>
              <w:rPr>
                <w:sz w:val="16"/>
              </w:rPr>
              <w:t>Sample exports, schema, field dictionary, data owner ETA</w:t>
            </w:r>
          </w:p>
        </w:tc>
      </w:tr>
      <w:tr>
        <w:tc>
          <w:tcPr>
            <w:tcW w:type="dxa" w:w="2462"/>
            <w:vAlign w:val="center"/>
          </w:tcPr>
          <w:p>
            <w:pPr>
              <w:spacing w:after="40"/>
            </w:pPr>
            <w:r>
              <w:rPr>
                <w:sz w:val="16"/>
              </w:rPr>
              <w:t>WP3 Data preparation + mapping</w:t>
            </w:r>
          </w:p>
        </w:tc>
        <w:tc>
          <w:tcPr>
            <w:tcW w:type="dxa" w:w="2462"/>
            <w:vAlign w:val="center"/>
          </w:tcPr>
          <w:p>
            <w:pPr>
              <w:spacing w:after="40"/>
            </w:pPr>
            <w:r>
              <w:rPr>
                <w:sz w:val="16"/>
              </w:rPr>
              <w:t>W2–W4 (Oct 26–Nov 13)</w:t>
            </w:r>
          </w:p>
        </w:tc>
        <w:tc>
          <w:tcPr>
            <w:tcW w:type="dxa" w:w="2462"/>
            <w:vAlign w:val="center"/>
          </w:tcPr>
          <w:p>
            <w:pPr>
              <w:spacing w:after="40"/>
            </w:pPr>
            <w:r>
              <w:rPr>
                <w:sz w:val="16"/>
              </w:rPr>
              <w:t>IT 5–8 PD; QA 1–2 PD</w:t>
            </w:r>
          </w:p>
        </w:tc>
        <w:tc>
          <w:tcPr>
            <w:tcW w:type="dxa" w:w="2462"/>
            <w:vAlign w:val="center"/>
          </w:tcPr>
          <w:p>
            <w:pPr>
              <w:spacing w:after="40"/>
            </w:pPr>
            <w:r>
              <w:rPr>
                <w:sz w:val="16"/>
              </w:rPr>
              <w:t>Repeatable transform, mapping rules, reject/error log</w:t>
            </w:r>
          </w:p>
        </w:tc>
      </w:tr>
      <w:tr>
        <w:tc>
          <w:tcPr>
            <w:tcW w:type="dxa" w:w="2462"/>
            <w:vAlign w:val="center"/>
          </w:tcPr>
          <w:p>
            <w:pPr>
              <w:spacing w:after="40"/>
            </w:pPr>
            <w:r>
              <w:rPr>
                <w:sz w:val="16"/>
              </w:rPr>
              <w:t>WP4 Fact Packet generator + QA</w:t>
            </w:r>
          </w:p>
        </w:tc>
        <w:tc>
          <w:tcPr>
            <w:tcW w:type="dxa" w:w="2462"/>
            <w:vAlign w:val="center"/>
          </w:tcPr>
          <w:p>
            <w:pPr>
              <w:spacing w:after="40"/>
            </w:pPr>
            <w:r>
              <w:rPr>
                <w:sz w:val="16"/>
              </w:rPr>
              <w:t>W3–W5 (Nov 2–20)</w:t>
            </w:r>
          </w:p>
        </w:tc>
        <w:tc>
          <w:tcPr>
            <w:tcW w:type="dxa" w:w="2462"/>
            <w:vAlign w:val="center"/>
          </w:tcPr>
          <w:p>
            <w:pPr>
              <w:spacing w:after="40"/>
            </w:pPr>
            <w:r>
              <w:rPr>
                <w:sz w:val="16"/>
              </w:rPr>
              <w:t>IT 5–8 PD; QA 2–3 PD</w:t>
            </w:r>
          </w:p>
        </w:tc>
        <w:tc>
          <w:tcPr>
            <w:tcW w:type="dxa" w:w="2462"/>
            <w:vAlign w:val="center"/>
          </w:tcPr>
          <w:p>
            <w:pPr>
              <w:spacing w:after="40"/>
            </w:pPr>
            <w:r>
              <w:rPr>
                <w:sz w:val="16"/>
              </w:rPr>
              <w:t>Versioned Fact Packet, reconciliation and evidence</w:t>
            </w:r>
          </w:p>
        </w:tc>
      </w:tr>
      <w:tr>
        <w:tc>
          <w:tcPr>
            <w:tcW w:type="dxa" w:w="2462"/>
            <w:vAlign w:val="center"/>
          </w:tcPr>
          <w:p>
            <w:pPr>
              <w:spacing w:after="40"/>
            </w:pPr>
            <w:r>
              <w:rPr>
                <w:sz w:val="16"/>
              </w:rPr>
              <w:t>WP5 Claude templates / export workflow</w:t>
            </w:r>
          </w:p>
        </w:tc>
        <w:tc>
          <w:tcPr>
            <w:tcW w:type="dxa" w:w="2462"/>
            <w:vAlign w:val="center"/>
          </w:tcPr>
          <w:p>
            <w:pPr>
              <w:spacing w:after="40"/>
            </w:pPr>
            <w:r>
              <w:rPr>
                <w:sz w:val="16"/>
              </w:rPr>
              <w:t>W2–W5 (Oct 26–Nov 20)</w:t>
            </w:r>
          </w:p>
        </w:tc>
        <w:tc>
          <w:tcPr>
            <w:tcW w:type="dxa" w:w="2462"/>
            <w:vAlign w:val="center"/>
          </w:tcPr>
          <w:p>
            <w:pPr>
              <w:spacing w:after="40"/>
            </w:pPr>
            <w:r>
              <w:rPr>
                <w:sz w:val="16"/>
              </w:rPr>
              <w:t>IT 4–6 PD; business 2–3 PD</w:t>
            </w:r>
          </w:p>
        </w:tc>
        <w:tc>
          <w:tcPr>
            <w:tcW w:type="dxa" w:w="2462"/>
            <w:vAlign w:val="center"/>
          </w:tcPr>
          <w:p>
            <w:pPr>
              <w:spacing w:after="40"/>
            </w:pPr>
            <w:r>
              <w:rPr>
                <w:sz w:val="16"/>
              </w:rPr>
              <w:t>AML + OFAC Project instructions, templates, export checks</w:t>
            </w:r>
          </w:p>
        </w:tc>
      </w:tr>
      <w:tr>
        <w:tc>
          <w:tcPr>
            <w:tcW w:type="dxa" w:w="2462"/>
            <w:vAlign w:val="center"/>
          </w:tcPr>
          <w:p>
            <w:pPr>
              <w:spacing w:after="40"/>
            </w:pPr>
            <w:r>
              <w:rPr>
                <w:sz w:val="16"/>
              </w:rPr>
              <w:t>WP6 End-to-end system verification</w:t>
            </w:r>
          </w:p>
        </w:tc>
        <w:tc>
          <w:tcPr>
            <w:tcW w:type="dxa" w:w="2462"/>
            <w:vAlign w:val="center"/>
          </w:tcPr>
          <w:p>
            <w:pPr>
              <w:spacing w:after="40"/>
            </w:pPr>
            <w:r>
              <w:rPr>
                <w:sz w:val="16"/>
              </w:rPr>
              <w:t>W5–W6 (Nov 16–27)</w:t>
            </w:r>
          </w:p>
        </w:tc>
        <w:tc>
          <w:tcPr>
            <w:tcW w:type="dxa" w:w="2462"/>
            <w:vAlign w:val="center"/>
          </w:tcPr>
          <w:p>
            <w:pPr>
              <w:spacing w:after="40"/>
            </w:pPr>
            <w:r>
              <w:rPr>
                <w:sz w:val="16"/>
              </w:rPr>
              <w:t>IT 3–5 PD; QA 3–4 PD</w:t>
            </w:r>
          </w:p>
        </w:tc>
        <w:tc>
          <w:tcPr>
            <w:tcW w:type="dxa" w:w="2462"/>
            <w:vAlign w:val="center"/>
          </w:tcPr>
          <w:p>
            <w:pPr>
              <w:spacing w:after="40"/>
            </w:pPr>
            <w:r>
              <w:rPr>
                <w:sz w:val="16"/>
              </w:rPr>
              <w:t>End-to-end runs, defects/controls closure</w:t>
            </w:r>
          </w:p>
        </w:tc>
      </w:tr>
      <w:tr>
        <w:tc>
          <w:tcPr>
            <w:tcW w:type="dxa" w:w="2462"/>
            <w:vAlign w:val="center"/>
          </w:tcPr>
          <w:p>
            <w:pPr>
              <w:spacing w:after="40"/>
            </w:pPr>
            <w:r>
              <w:rPr>
                <w:sz w:val="16"/>
              </w:rPr>
              <w:t>WP7 Business UAT + sign-off</w:t>
            </w:r>
          </w:p>
        </w:tc>
        <w:tc>
          <w:tcPr>
            <w:tcW w:type="dxa" w:w="2462"/>
            <w:vAlign w:val="center"/>
          </w:tcPr>
          <w:p>
            <w:pPr>
              <w:spacing w:after="40"/>
            </w:pPr>
            <w:r>
              <w:rPr>
                <w:sz w:val="16"/>
              </w:rPr>
              <w:t>W6–W7 (Nov 23–Dec 4)</w:t>
            </w:r>
          </w:p>
        </w:tc>
        <w:tc>
          <w:tcPr>
            <w:tcW w:type="dxa" w:w="2462"/>
            <w:vAlign w:val="center"/>
          </w:tcPr>
          <w:p>
            <w:pPr>
              <w:spacing w:after="40"/>
            </w:pPr>
            <w:r>
              <w:rPr>
                <w:sz w:val="16"/>
              </w:rPr>
              <w:t>Business 4–6 PD; IT 2–3 PD</w:t>
            </w:r>
          </w:p>
        </w:tc>
        <w:tc>
          <w:tcPr>
            <w:tcW w:type="dxa" w:w="2462"/>
            <w:vAlign w:val="center"/>
          </w:tcPr>
          <w:p>
            <w:pPr>
              <w:spacing w:after="40"/>
            </w:pPr>
            <w:r>
              <w:rPr>
                <w:sz w:val="16"/>
              </w:rPr>
              <w:t>Signed UAT evidence and accepted reports</w:t>
            </w:r>
          </w:p>
        </w:tc>
      </w:tr>
      <w:tr>
        <w:tc>
          <w:tcPr>
            <w:tcW w:type="dxa" w:w="2462"/>
            <w:vAlign w:val="center"/>
          </w:tcPr>
          <w:p>
            <w:pPr>
              <w:spacing w:after="40"/>
            </w:pPr>
            <w:r>
              <w:rPr>
                <w:sz w:val="16"/>
              </w:rPr>
              <w:t>WP8 SOP, training, rollout checkpoint</w:t>
            </w:r>
          </w:p>
        </w:tc>
        <w:tc>
          <w:tcPr>
            <w:tcW w:type="dxa" w:w="2462"/>
            <w:vAlign w:val="center"/>
          </w:tcPr>
          <w:p>
            <w:pPr>
              <w:spacing w:after="40"/>
            </w:pPr>
            <w:r>
              <w:rPr>
                <w:sz w:val="16"/>
              </w:rPr>
              <w:t>W7–W8 (Nov 30–Dec 11)</w:t>
            </w:r>
          </w:p>
        </w:tc>
        <w:tc>
          <w:tcPr>
            <w:tcW w:type="dxa" w:w="2462"/>
            <w:vAlign w:val="center"/>
          </w:tcPr>
          <w:p>
            <w:pPr>
              <w:spacing w:after="40"/>
            </w:pPr>
            <w:r>
              <w:rPr>
                <w:sz w:val="16"/>
              </w:rPr>
              <w:t>IT 2–3 PD; business 1–2 PD</w:t>
            </w:r>
          </w:p>
        </w:tc>
        <w:tc>
          <w:tcPr>
            <w:tcW w:type="dxa" w:w="2462"/>
            <w:vAlign w:val="center"/>
          </w:tcPr>
          <w:p>
            <w:pPr>
              <w:spacing w:after="40"/>
            </w:pPr>
            <w:r>
              <w:rPr>
                <w:sz w:val="16"/>
              </w:rPr>
              <w:t>Runbook, ownership, access and approval to pilot/use</w:t>
            </w:r>
          </w:p>
        </w:tc>
      </w:tr>
    </w:tbl>
    <w:p/>
    <w:p>
      <w:r>
        <w:t>Indicative capacity: IT ~26–42 person-days across overlapping work packages; BA/vendor ~4–6; QA ~6–9; business ~7–11. These are planning ranges, not commitments; double-counting is avoided by treating parallel windows as elapsed calendar periods rather than additive durations.</w:t>
      </w:r>
    </w:p>
    <w:p>
      <w:pPr>
        <w:pStyle w:val="Heading1"/>
      </w:pPr>
      <w:r>
        <w:t>4. Milestones and stage gates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shd w:fill="17324F"/>
          </w:tcPr>
          <w:p>
            <w:pPr>
              <w:spacing w:after="40"/>
            </w:pPr>
            <w:r>
              <w:rPr>
                <w:b/>
                <w:color w:val="FFFFFF"/>
                <w:sz w:val="16"/>
              </w:rPr>
              <w:t>Gate</w:t>
            </w:r>
          </w:p>
        </w:tc>
        <w:tc>
          <w:tcPr>
            <w:tcW w:type="dxa" w:w="3283"/>
            <w:shd w:fill="17324F"/>
          </w:tcPr>
          <w:p>
            <w:pPr>
              <w:spacing w:after="40"/>
            </w:pPr>
            <w:r>
              <w:rPr>
                <w:b/>
                <w:color w:val="FFFFFF"/>
                <w:sz w:val="16"/>
              </w:rPr>
              <w:t>Indicative date</w:t>
            </w:r>
          </w:p>
        </w:tc>
        <w:tc>
          <w:tcPr>
            <w:tcW w:type="dxa" w:w="3283"/>
            <w:shd w:fill="17324F"/>
          </w:tcPr>
          <w:p>
            <w:pPr>
              <w:spacing w:after="40"/>
            </w:pPr>
            <w:r>
              <w:rPr>
                <w:b/>
                <w:color w:val="FFFFFF"/>
                <w:sz w:val="16"/>
              </w:rPr>
              <w:t>Required evidence / decision</w:t>
            </w:r>
          </w:p>
        </w:tc>
      </w:tr>
      <w:tr>
        <w:tc>
          <w:tcPr>
            <w:tcW w:type="dxa" w:w="3283"/>
            <w:vAlign w:val="center"/>
          </w:tcPr>
          <w:p>
            <w:pPr>
              <w:spacing w:after="40"/>
            </w:pPr>
            <w:r>
              <w:rPr>
                <w:sz w:val="16"/>
              </w:rPr>
              <w:t>G0 POC complete</w:t>
            </w:r>
          </w:p>
        </w:tc>
        <w:tc>
          <w:tcPr>
            <w:tcW w:type="dxa" w:w="3283"/>
            <w:vAlign w:val="center"/>
          </w:tcPr>
          <w:p>
            <w:pPr>
              <w:spacing w:after="40"/>
            </w:pPr>
            <w:r>
              <w:rPr>
                <w:sz w:val="16"/>
              </w:rPr>
              <w:t>Completed</w:t>
            </w:r>
          </w:p>
        </w:tc>
        <w:tc>
          <w:tcPr>
            <w:tcW w:type="dxa" w:w="3283"/>
            <w:vAlign w:val="center"/>
          </w:tcPr>
          <w:p>
            <w:pPr>
              <w:spacing w:after="40"/>
            </w:pPr>
            <w:r>
              <w:rPr>
                <w:sz w:val="16"/>
              </w:rPr>
              <w:t>AML + OFAC prototype reviewed; stakeholder feedback captured</w:t>
            </w:r>
          </w:p>
        </w:tc>
      </w:tr>
      <w:tr>
        <w:tc>
          <w:tcPr>
            <w:tcW w:type="dxa" w:w="3283"/>
            <w:vAlign w:val="center"/>
          </w:tcPr>
          <w:p>
            <w:pPr>
              <w:spacing w:after="40"/>
            </w:pPr>
            <w:r>
              <w:rPr>
                <w:sz w:val="16"/>
              </w:rPr>
              <w:t>G1 Requirements baseline</w:t>
            </w:r>
          </w:p>
        </w:tc>
        <w:tc>
          <w:tcPr>
            <w:tcW w:type="dxa" w:w="3283"/>
            <w:vAlign w:val="center"/>
          </w:tcPr>
          <w:p>
            <w:pPr>
              <w:spacing w:after="40"/>
            </w:pPr>
            <w:r>
              <w:rPr>
                <w:sz w:val="16"/>
              </w:rPr>
              <w:t>Oct 30</w:t>
            </w:r>
          </w:p>
        </w:tc>
        <w:tc>
          <w:tcPr>
            <w:tcW w:type="dxa" w:w="3283"/>
            <w:vAlign w:val="center"/>
          </w:tcPr>
          <w:p>
            <w:pPr>
              <w:spacing w:after="40"/>
            </w:pPr>
            <w:r>
              <w:rPr>
                <w:sz w:val="16"/>
              </w:rPr>
              <w:t>Scope, manual handoffs, roles, sample acceptance set confirmed</w:t>
            </w:r>
          </w:p>
        </w:tc>
      </w:tr>
      <w:tr>
        <w:tc>
          <w:tcPr>
            <w:tcW w:type="dxa" w:w="3283"/>
            <w:vAlign w:val="center"/>
          </w:tcPr>
          <w:p>
            <w:pPr>
              <w:spacing w:after="40"/>
            </w:pPr>
            <w:r>
              <w:rPr>
                <w:sz w:val="16"/>
              </w:rPr>
              <w:t>G2 Vendor/data feasibility</w:t>
            </w:r>
          </w:p>
        </w:tc>
        <w:tc>
          <w:tcPr>
            <w:tcW w:type="dxa" w:w="3283"/>
            <w:vAlign w:val="center"/>
          </w:tcPr>
          <w:p>
            <w:pPr>
              <w:spacing w:after="40"/>
            </w:pPr>
            <w:r>
              <w:rPr>
                <w:sz w:val="16"/>
              </w:rPr>
              <w:t>Nov 6</w:t>
            </w:r>
          </w:p>
        </w:tc>
        <w:tc>
          <w:tcPr>
            <w:tcW w:type="dxa" w:w="3283"/>
            <w:vAlign w:val="center"/>
          </w:tcPr>
          <w:p>
            <w:pPr>
              <w:spacing w:after="40"/>
            </w:pPr>
            <w:r>
              <w:rPr>
                <w:sz w:val="16"/>
              </w:rPr>
              <w:t>Vendor output sample/schema obtained; mapping feasibility and data ETA agreed</w:t>
            </w:r>
          </w:p>
        </w:tc>
      </w:tr>
      <w:tr>
        <w:tc>
          <w:tcPr>
            <w:tcW w:type="dxa" w:w="3283"/>
            <w:vAlign w:val="center"/>
          </w:tcPr>
          <w:p>
            <w:pPr>
              <w:spacing w:after="40"/>
            </w:pPr>
            <w:r>
              <w:rPr>
                <w:sz w:val="16"/>
              </w:rPr>
              <w:t>G3 Build complete</w:t>
            </w:r>
          </w:p>
        </w:tc>
        <w:tc>
          <w:tcPr>
            <w:tcW w:type="dxa" w:w="3283"/>
            <w:vAlign w:val="center"/>
          </w:tcPr>
          <w:p>
            <w:pPr>
              <w:spacing w:after="40"/>
            </w:pPr>
            <w:r>
              <w:rPr>
                <w:sz w:val="16"/>
              </w:rPr>
              <w:t>Nov 20</w:t>
            </w:r>
          </w:p>
        </w:tc>
        <w:tc>
          <w:tcPr>
            <w:tcW w:type="dxa" w:w="3283"/>
            <w:vAlign w:val="center"/>
          </w:tcPr>
          <w:p>
            <w:pPr>
              <w:spacing w:after="40"/>
            </w:pPr>
            <w:r>
              <w:rPr>
                <w:sz w:val="16"/>
              </w:rPr>
              <w:t>Transform, Fact Packet and both templates demonstrated; unit tests pass</w:t>
            </w:r>
          </w:p>
        </w:tc>
      </w:tr>
      <w:tr>
        <w:tc>
          <w:tcPr>
            <w:tcW w:type="dxa" w:w="3283"/>
            <w:vAlign w:val="center"/>
          </w:tcPr>
          <w:p>
            <w:pPr>
              <w:spacing w:after="40"/>
            </w:pPr>
            <w:r>
              <w:rPr>
                <w:sz w:val="16"/>
              </w:rPr>
              <w:t>G4 End-to-end verified</w:t>
            </w:r>
          </w:p>
        </w:tc>
        <w:tc>
          <w:tcPr>
            <w:tcW w:type="dxa" w:w="3283"/>
            <w:vAlign w:val="center"/>
          </w:tcPr>
          <w:p>
            <w:pPr>
              <w:spacing w:after="40"/>
            </w:pPr>
            <w:r>
              <w:rPr>
                <w:sz w:val="16"/>
              </w:rPr>
              <w:t>Nov 27</w:t>
            </w:r>
          </w:p>
        </w:tc>
        <w:tc>
          <w:tcPr>
            <w:tcW w:type="dxa" w:w="3283"/>
            <w:vAlign w:val="center"/>
          </w:tcPr>
          <w:p>
            <w:pPr>
              <w:spacing w:after="40"/>
            </w:pPr>
            <w:r>
              <w:rPr>
                <w:sz w:val="16"/>
              </w:rPr>
              <w:t>Source-to-report checks and security/control checks pass</w:t>
            </w:r>
          </w:p>
        </w:tc>
      </w:tr>
      <w:tr>
        <w:tc>
          <w:tcPr>
            <w:tcW w:type="dxa" w:w="3283"/>
            <w:vAlign w:val="center"/>
          </w:tcPr>
          <w:p>
            <w:pPr>
              <w:spacing w:after="40"/>
            </w:pPr>
            <w:r>
              <w:rPr>
                <w:sz w:val="16"/>
              </w:rPr>
              <w:t>G5 Business acceptance</w:t>
            </w:r>
          </w:p>
        </w:tc>
        <w:tc>
          <w:tcPr>
            <w:tcW w:type="dxa" w:w="3283"/>
            <w:vAlign w:val="center"/>
          </w:tcPr>
          <w:p>
            <w:pPr>
              <w:spacing w:after="40"/>
            </w:pPr>
            <w:r>
              <w:rPr>
                <w:sz w:val="16"/>
              </w:rPr>
              <w:t>Dec 4</w:t>
            </w:r>
          </w:p>
        </w:tc>
        <w:tc>
          <w:tcPr>
            <w:tcW w:type="dxa" w:w="3283"/>
            <w:vAlign w:val="center"/>
          </w:tcPr>
          <w:p>
            <w:pPr>
              <w:spacing w:after="40"/>
            </w:pPr>
            <w:r>
              <w:rPr>
                <w:sz w:val="16"/>
              </w:rPr>
              <w:t>AML and OFAC designated users sign UAT results</w:t>
            </w:r>
          </w:p>
        </w:tc>
      </w:tr>
      <w:tr>
        <w:tc>
          <w:tcPr>
            <w:tcW w:type="dxa" w:w="3283"/>
            <w:vAlign w:val="center"/>
          </w:tcPr>
          <w:p>
            <w:pPr>
              <w:spacing w:after="40"/>
            </w:pPr>
            <w:r>
              <w:rPr>
                <w:sz w:val="16"/>
              </w:rPr>
              <w:t>G6 Controlled rollout readiness</w:t>
            </w:r>
          </w:p>
        </w:tc>
        <w:tc>
          <w:tcPr>
            <w:tcW w:type="dxa" w:w="3283"/>
            <w:vAlign w:val="center"/>
          </w:tcPr>
          <w:p>
            <w:pPr>
              <w:spacing w:after="40"/>
            </w:pPr>
            <w:r>
              <w:rPr>
                <w:sz w:val="16"/>
              </w:rPr>
              <w:t>Dec 11</w:t>
            </w:r>
          </w:p>
        </w:tc>
        <w:tc>
          <w:tcPr>
            <w:tcW w:type="dxa" w:w="3283"/>
            <w:vAlign w:val="center"/>
          </w:tcPr>
          <w:p>
            <w:pPr>
              <w:spacing w:after="40"/>
            </w:pPr>
            <w:r>
              <w:rPr>
                <w:sz w:val="16"/>
              </w:rPr>
              <w:t>Access approved, SOP/training complete, go/no-go accepted</w:t>
            </w:r>
          </w:p>
        </w:tc>
      </w:tr>
    </w:tbl>
    <w:p/>
    <w:p>
      <w:r>
        <w:t>Dependency rule: if G2 is missed or real production-like data is unavailable, subsequent real-data verification, UAT and go-live shift accordingly. Mock-data build and training may proceed, but they do not constitute production acceptance.</w:t>
      </w:r>
    </w:p>
    <w:p>
      <w:pPr>
        <w:pStyle w:val="Heading1"/>
      </w:pPr>
      <w:r>
        <w:t>5. Dependencies, risks and contingency</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shd w:fill="17324F"/>
          </w:tcPr>
          <w:p>
            <w:pPr>
              <w:spacing w:after="40"/>
            </w:pPr>
            <w:r>
              <w:rPr>
                <w:b/>
                <w:color w:val="FFFFFF"/>
                <w:sz w:val="16"/>
              </w:rPr>
              <w:t>Priority / issue</w:t>
            </w:r>
          </w:p>
        </w:tc>
        <w:tc>
          <w:tcPr>
            <w:tcW w:type="dxa" w:w="3283"/>
            <w:shd w:fill="17324F"/>
          </w:tcPr>
          <w:p>
            <w:pPr>
              <w:spacing w:after="40"/>
            </w:pPr>
            <w:r>
              <w:rPr>
                <w:b/>
                <w:color w:val="FFFFFF"/>
                <w:sz w:val="16"/>
              </w:rPr>
              <w:t>Owner (proposed)</w:t>
            </w:r>
          </w:p>
        </w:tc>
        <w:tc>
          <w:tcPr>
            <w:tcW w:type="dxa" w:w="3283"/>
            <w:shd w:fill="17324F"/>
          </w:tcPr>
          <w:p>
            <w:pPr>
              <w:spacing w:after="40"/>
            </w:pPr>
            <w:r>
              <w:rPr>
                <w:b/>
                <w:color w:val="FFFFFF"/>
                <w:sz w:val="16"/>
              </w:rPr>
              <w:t>Trigger / response</w:t>
            </w:r>
          </w:p>
        </w:tc>
      </w:tr>
      <w:tr>
        <w:tc>
          <w:tcPr>
            <w:tcW w:type="dxa" w:w="3283"/>
            <w:vAlign w:val="center"/>
          </w:tcPr>
          <w:p>
            <w:pPr>
              <w:spacing w:after="40"/>
            </w:pPr>
            <w:r>
              <w:rPr>
                <w:sz w:val="16"/>
              </w:rPr>
              <w:t>HIGH | Actual data availability unknown</w:t>
            </w:r>
          </w:p>
        </w:tc>
        <w:tc>
          <w:tcPr>
            <w:tcW w:type="dxa" w:w="3283"/>
            <w:vAlign w:val="center"/>
          </w:tcPr>
          <w:p>
            <w:pPr>
              <w:spacing w:after="40"/>
            </w:pPr>
            <w:r>
              <w:rPr>
                <w:sz w:val="16"/>
              </w:rPr>
              <w:t>Data owner / business</w:t>
            </w:r>
          </w:p>
        </w:tc>
        <w:tc>
          <w:tcPr>
            <w:tcW w:type="dxa" w:w="3283"/>
            <w:vAlign w:val="center"/>
          </w:tcPr>
          <w:p>
            <w:pPr>
              <w:spacing w:after="40"/>
            </w:pPr>
            <w:r>
              <w:rPr>
                <w:sz w:val="16"/>
              </w:rPr>
              <w:t>Obtain named owner, ETA, extract mechanism; use approved representative data for build; rebaseline when ETA known</w:t>
            </w:r>
          </w:p>
        </w:tc>
      </w:tr>
      <w:tr>
        <w:tc>
          <w:tcPr>
            <w:tcW w:type="dxa" w:w="3283"/>
            <w:vAlign w:val="center"/>
          </w:tcPr>
          <w:p>
            <w:pPr>
              <w:spacing w:after="40"/>
            </w:pPr>
            <w:r>
              <w:rPr>
                <w:sz w:val="16"/>
              </w:rPr>
              <w:t>HIGH | Ready Assess vendor output unknown</w:t>
            </w:r>
          </w:p>
        </w:tc>
        <w:tc>
          <w:tcPr>
            <w:tcW w:type="dxa" w:w="3283"/>
            <w:vAlign w:val="center"/>
          </w:tcPr>
          <w:p>
            <w:pPr>
              <w:spacing w:after="40"/>
            </w:pPr>
            <w:r>
              <w:rPr>
                <w:sz w:val="16"/>
              </w:rPr>
              <w:t>Vendor + application owner</w:t>
            </w:r>
          </w:p>
        </w:tc>
        <w:tc>
          <w:tcPr>
            <w:tcW w:type="dxa" w:w="3283"/>
            <w:vAlign w:val="center"/>
          </w:tcPr>
          <w:p>
            <w:pPr>
              <w:spacing w:after="40"/>
            </w:pPr>
            <w:r>
              <w:rPr>
                <w:sz w:val="16"/>
              </w:rPr>
              <w:t>Request sample files, schema, refresh/version rules, field definitions, exceptions; gate G2</w:t>
            </w:r>
          </w:p>
        </w:tc>
      </w:tr>
      <w:tr>
        <w:tc>
          <w:tcPr>
            <w:tcW w:type="dxa" w:w="3283"/>
            <w:vAlign w:val="center"/>
          </w:tcPr>
          <w:p>
            <w:pPr>
              <w:spacing w:after="40"/>
            </w:pPr>
            <w:r>
              <w:rPr>
                <w:sz w:val="16"/>
              </w:rPr>
              <w:t>HIGH | Claude handling / security approval</w:t>
            </w:r>
          </w:p>
        </w:tc>
        <w:tc>
          <w:tcPr>
            <w:tcW w:type="dxa" w:w="3283"/>
            <w:vAlign w:val="center"/>
          </w:tcPr>
          <w:p>
            <w:pPr>
              <w:spacing w:after="40"/>
            </w:pPr>
            <w:r>
              <w:rPr>
                <w:sz w:val="16"/>
              </w:rPr>
              <w:t>InfoSec / Compliance / IT</w:t>
            </w:r>
          </w:p>
        </w:tc>
        <w:tc>
          <w:tcPr>
            <w:tcW w:type="dxa" w:w="3283"/>
            <w:vAlign w:val="center"/>
          </w:tcPr>
          <w:p>
            <w:pPr>
              <w:spacing w:after="40"/>
            </w:pPr>
            <w:r>
              <w:rPr>
                <w:sz w:val="16"/>
              </w:rPr>
              <w:t>Confirm data classification, retention, access, external sharing and audit policy before actual data</w:t>
            </w:r>
          </w:p>
        </w:tc>
      </w:tr>
      <w:tr>
        <w:tc>
          <w:tcPr>
            <w:tcW w:type="dxa" w:w="3283"/>
            <w:vAlign w:val="center"/>
          </w:tcPr>
          <w:p>
            <w:pPr>
              <w:spacing w:after="40"/>
            </w:pPr>
            <w:r>
              <w:rPr>
                <w:sz w:val="16"/>
              </w:rPr>
              <w:t>HIGH | Source-to-report accuracy</w:t>
            </w:r>
          </w:p>
        </w:tc>
        <w:tc>
          <w:tcPr>
            <w:tcW w:type="dxa" w:w="3283"/>
            <w:vAlign w:val="center"/>
          </w:tcPr>
          <w:p>
            <w:pPr>
              <w:spacing w:after="40"/>
            </w:pPr>
            <w:r>
              <w:rPr>
                <w:sz w:val="16"/>
              </w:rPr>
              <w:t>IT + business</w:t>
            </w:r>
          </w:p>
        </w:tc>
        <w:tc>
          <w:tcPr>
            <w:tcW w:type="dxa" w:w="3283"/>
            <w:vAlign w:val="center"/>
          </w:tcPr>
          <w:p>
            <w:pPr>
              <w:spacing w:after="40"/>
            </w:pPr>
            <w:r>
              <w:rPr>
                <w:sz w:val="16"/>
              </w:rPr>
              <w:t>Reconcile totals, mandatory fields and explanations; no fabricated values; manual approval</w:t>
            </w:r>
          </w:p>
        </w:tc>
      </w:tr>
      <w:tr>
        <w:tc>
          <w:tcPr>
            <w:tcW w:type="dxa" w:w="3283"/>
            <w:vAlign w:val="center"/>
          </w:tcPr>
          <w:p>
            <w:pPr>
              <w:spacing w:after="40"/>
            </w:pPr>
            <w:r>
              <w:rPr>
                <w:sz w:val="16"/>
              </w:rPr>
              <w:t>MED | Export format/template differences</w:t>
            </w:r>
          </w:p>
        </w:tc>
        <w:tc>
          <w:tcPr>
            <w:tcW w:type="dxa" w:w="3283"/>
            <w:vAlign w:val="center"/>
          </w:tcPr>
          <w:p>
            <w:pPr>
              <w:spacing w:after="40"/>
            </w:pPr>
            <w:r>
              <w:rPr>
                <w:sz w:val="16"/>
              </w:rPr>
              <w:t>IT + business</w:t>
            </w:r>
          </w:p>
        </w:tc>
        <w:tc>
          <w:tcPr>
            <w:tcW w:type="dxa" w:w="3283"/>
            <w:vAlign w:val="center"/>
          </w:tcPr>
          <w:p>
            <w:pPr>
              <w:spacing w:after="40"/>
            </w:pPr>
            <w:r>
              <w:rPr>
                <w:sz w:val="16"/>
              </w:rPr>
              <w:t>Test Word/PDF/export path with approved report layout; document manual workaround</w:t>
            </w:r>
          </w:p>
        </w:tc>
      </w:tr>
      <w:tr>
        <w:tc>
          <w:tcPr>
            <w:tcW w:type="dxa" w:w="3283"/>
            <w:vAlign w:val="center"/>
          </w:tcPr>
          <w:p>
            <w:pPr>
              <w:spacing w:after="40"/>
            </w:pPr>
            <w:r>
              <w:rPr>
                <w:sz w:val="16"/>
              </w:rPr>
              <w:t>MED | Business reviewer availability</w:t>
            </w:r>
          </w:p>
        </w:tc>
        <w:tc>
          <w:tcPr>
            <w:tcW w:type="dxa" w:w="3283"/>
            <w:vAlign w:val="center"/>
          </w:tcPr>
          <w:p>
            <w:pPr>
              <w:spacing w:after="40"/>
            </w:pPr>
            <w:r>
              <w:rPr>
                <w:sz w:val="16"/>
              </w:rPr>
              <w:t>Business lead</w:t>
            </w:r>
          </w:p>
        </w:tc>
        <w:tc>
          <w:tcPr>
            <w:tcW w:type="dxa" w:w="3283"/>
            <w:vAlign w:val="center"/>
          </w:tcPr>
          <w:p>
            <w:pPr>
              <w:spacing w:after="40"/>
            </w:pPr>
            <w:r>
              <w:rPr>
                <w:sz w:val="16"/>
              </w:rPr>
              <w:t>Reserve UAT reviewers and sign-off slots by W2</w:t>
            </w:r>
          </w:p>
        </w:tc>
      </w:tr>
    </w:tbl>
    <w:p/>
    <w:p>
      <w:pPr>
        <w:pStyle w:val="Heading1"/>
      </w:pPr>
      <w:r>
        <w:t>6. Acceptance and operating readiness — management checklist</w:t>
      </w:r>
    </w:p>
    <w:p>
      <w:pPr>
        <w:pStyle w:val="ListBullet"/>
      </w:pPr>
      <w:r>
        <w:t>Documented vendor sample and approved field-level mapping for both AML and OFAC, including data version/time period.</w:t>
      </w:r>
    </w:p>
    <w:p>
      <w:pPr>
        <w:pStyle w:val="ListBullet"/>
      </w:pPr>
      <w:r>
        <w:t>Each Fact Packet includes source metadata, control totals, validation warnings and provenance for every material value.</w:t>
      </w:r>
    </w:p>
    <w:p>
      <w:pPr>
        <w:pStyle w:val="ListBullet"/>
      </w:pPr>
      <w:r>
        <w:t>No unexplained variance between input/control totals and generated Fact Packet; known exceptions are explicitly listed and approved.</w:t>
      </w:r>
    </w:p>
    <w:p>
      <w:pPr>
        <w:pStyle w:val="ListBullet"/>
      </w:pPr>
      <w:r>
        <w:t>Claude output contains no unsupported numerical claims; business validates draft against Fact Packet and approves final report.</w:t>
      </w:r>
    </w:p>
    <w:p>
      <w:pPr>
        <w:pStyle w:val="ListBullet"/>
      </w:pPr>
      <w:r>
        <w:t>Both report types export into agreed editable/reviewable format with complete sections and no broken tables.</w:t>
      </w:r>
    </w:p>
    <w:p>
      <w:pPr>
        <w:pStyle w:val="ListBullet"/>
      </w:pPr>
      <w:r>
        <w:t>Approved user access, data handling, runbook, exception/escalation workflow, ownership and UAT evidence are on file.</w:t>
      </w:r>
    </w:p>
    <w:p>
      <w:pPr>
        <w:pStyle w:val="Heading1"/>
      </w:pPr>
      <w:r>
        <w:t>7. Near-term actions — next 10 business days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shd w:fill="17324F"/>
          </w:tcPr>
          <w:p>
            <w:pPr>
              <w:spacing w:after="40"/>
            </w:pPr>
            <w:r>
              <w:rPr>
                <w:b/>
                <w:color w:val="FFFFFF"/>
                <w:sz w:val="16"/>
              </w:rPr>
              <w:t>Action</w:t>
            </w:r>
          </w:p>
        </w:tc>
        <w:tc>
          <w:tcPr>
            <w:tcW w:type="dxa" w:w="3283"/>
            <w:shd w:fill="17324F"/>
          </w:tcPr>
          <w:p>
            <w:pPr>
              <w:spacing w:after="40"/>
            </w:pPr>
            <w:r>
              <w:rPr>
                <w:b/>
                <w:color w:val="FFFFFF"/>
                <w:sz w:val="16"/>
              </w:rPr>
              <w:t>Owner (proposed)</w:t>
            </w:r>
          </w:p>
        </w:tc>
        <w:tc>
          <w:tcPr>
            <w:tcW w:type="dxa" w:w="3283"/>
            <w:shd w:fill="17324F"/>
          </w:tcPr>
          <w:p>
            <w:pPr>
              <w:spacing w:after="40"/>
            </w:pPr>
            <w:r>
              <w:rPr>
                <w:b/>
                <w:color w:val="FFFFFF"/>
                <w:sz w:val="16"/>
              </w:rPr>
              <w:t>Target</w:t>
            </w:r>
          </w:p>
        </w:tc>
      </w:tr>
      <w:tr>
        <w:tc>
          <w:tcPr>
            <w:tcW w:type="dxa" w:w="3283"/>
            <w:vAlign w:val="center"/>
          </w:tcPr>
          <w:p>
            <w:pPr>
              <w:spacing w:after="40"/>
            </w:pPr>
            <w:r>
              <w:rPr>
                <w:sz w:val="16"/>
              </w:rPr>
              <w:t>Book vendor output walkthrough; request AML/OFAC anonymized sample export and schema</w:t>
            </w:r>
          </w:p>
        </w:tc>
        <w:tc>
          <w:tcPr>
            <w:tcW w:type="dxa" w:w="3283"/>
            <w:vAlign w:val="center"/>
          </w:tcPr>
          <w:p>
            <w:pPr>
              <w:spacing w:after="40"/>
            </w:pPr>
            <w:r>
              <w:rPr>
                <w:sz w:val="16"/>
              </w:rPr>
              <w:t>Application owner + vendor</w:t>
            </w:r>
          </w:p>
        </w:tc>
        <w:tc>
          <w:tcPr>
            <w:tcW w:type="dxa" w:w="3283"/>
            <w:vAlign w:val="center"/>
          </w:tcPr>
          <w:p>
            <w:pPr>
              <w:spacing w:after="40"/>
            </w:pPr>
            <w:r>
              <w:rPr>
                <w:sz w:val="16"/>
              </w:rPr>
              <w:t>W1</w:t>
            </w:r>
          </w:p>
        </w:tc>
      </w:tr>
      <w:tr>
        <w:tc>
          <w:tcPr>
            <w:tcW w:type="dxa" w:w="3283"/>
            <w:vAlign w:val="center"/>
          </w:tcPr>
          <w:p>
            <w:pPr>
              <w:spacing w:after="40"/>
            </w:pPr>
            <w:r>
              <w:rPr>
                <w:sz w:val="16"/>
              </w:rPr>
              <w:t>Identify data owner; request production data ETA and authorized test extract</w:t>
            </w:r>
          </w:p>
        </w:tc>
        <w:tc>
          <w:tcPr>
            <w:tcW w:type="dxa" w:w="3283"/>
            <w:vAlign w:val="center"/>
          </w:tcPr>
          <w:p>
            <w:pPr>
              <w:spacing w:after="40"/>
            </w:pPr>
            <w:r>
              <w:rPr>
                <w:sz w:val="16"/>
              </w:rPr>
              <w:t>Business + data team</w:t>
            </w:r>
          </w:p>
        </w:tc>
        <w:tc>
          <w:tcPr>
            <w:tcW w:type="dxa" w:w="3283"/>
            <w:vAlign w:val="center"/>
          </w:tcPr>
          <w:p>
            <w:pPr>
              <w:spacing w:after="40"/>
            </w:pPr>
            <w:r>
              <w:rPr>
                <w:sz w:val="16"/>
              </w:rPr>
              <w:t>W1</w:t>
            </w:r>
          </w:p>
        </w:tc>
      </w:tr>
      <w:tr>
        <w:tc>
          <w:tcPr>
            <w:tcW w:type="dxa" w:w="3283"/>
            <w:vAlign w:val="center"/>
          </w:tcPr>
          <w:p>
            <w:pPr>
              <w:spacing w:after="40"/>
            </w:pPr>
            <w:r>
              <w:rPr>
                <w:sz w:val="16"/>
              </w:rPr>
              <w:t>Confirm Claude allowed use / security review route and report storage location</w:t>
            </w:r>
          </w:p>
        </w:tc>
        <w:tc>
          <w:tcPr>
            <w:tcW w:type="dxa" w:w="3283"/>
            <w:vAlign w:val="center"/>
          </w:tcPr>
          <w:p>
            <w:pPr>
              <w:spacing w:after="40"/>
            </w:pPr>
            <w:r>
              <w:rPr>
                <w:sz w:val="16"/>
              </w:rPr>
              <w:t>IT + InfoSec</w:t>
            </w:r>
          </w:p>
        </w:tc>
        <w:tc>
          <w:tcPr>
            <w:tcW w:type="dxa" w:w="3283"/>
            <w:vAlign w:val="center"/>
          </w:tcPr>
          <w:p>
            <w:pPr>
              <w:spacing w:after="40"/>
            </w:pPr>
            <w:r>
              <w:rPr>
                <w:sz w:val="16"/>
              </w:rPr>
              <w:t>W1–W2</w:t>
            </w:r>
          </w:p>
        </w:tc>
      </w:tr>
      <w:tr>
        <w:tc>
          <w:tcPr>
            <w:tcW w:type="dxa" w:w="3283"/>
            <w:vAlign w:val="center"/>
          </w:tcPr>
          <w:p>
            <w:pPr>
              <w:spacing w:after="40"/>
            </w:pPr>
            <w:r>
              <w:rPr>
                <w:sz w:val="16"/>
              </w:rPr>
              <w:t>Review FSD, map current POC fields, agree report acceptance criteria</w:t>
            </w:r>
          </w:p>
        </w:tc>
        <w:tc>
          <w:tcPr>
            <w:tcW w:type="dxa" w:w="3283"/>
            <w:vAlign w:val="center"/>
          </w:tcPr>
          <w:p>
            <w:pPr>
              <w:spacing w:after="40"/>
            </w:pPr>
            <w:r>
              <w:rPr>
                <w:sz w:val="16"/>
              </w:rPr>
              <w:t>IT + business</w:t>
            </w:r>
          </w:p>
        </w:tc>
        <w:tc>
          <w:tcPr>
            <w:tcW w:type="dxa" w:w="3283"/>
            <w:vAlign w:val="center"/>
          </w:tcPr>
          <w:p>
            <w:pPr>
              <w:spacing w:after="40"/>
            </w:pPr>
            <w:r>
              <w:rPr>
                <w:sz w:val="16"/>
              </w:rPr>
              <w:t>W1–W2</w:t>
            </w:r>
          </w:p>
        </w:tc>
      </w:tr>
      <w:tr>
        <w:tc>
          <w:tcPr>
            <w:tcW w:type="dxa" w:w="3283"/>
            <w:vAlign w:val="center"/>
          </w:tcPr>
          <w:p>
            <w:pPr>
              <w:spacing w:after="40"/>
            </w:pPr>
            <w:r>
              <w:rPr>
                <w:sz w:val="16"/>
              </w:rPr>
              <w:t>Select UAT reviewers and pilot participants</w:t>
            </w:r>
          </w:p>
        </w:tc>
        <w:tc>
          <w:tcPr>
            <w:tcW w:type="dxa" w:w="3283"/>
            <w:vAlign w:val="center"/>
          </w:tcPr>
          <w:p>
            <w:pPr>
              <w:spacing w:after="40"/>
            </w:pPr>
            <w:r>
              <w:rPr>
                <w:sz w:val="16"/>
              </w:rPr>
              <w:t>Business lead</w:t>
            </w:r>
          </w:p>
        </w:tc>
        <w:tc>
          <w:tcPr>
            <w:tcW w:type="dxa" w:w="3283"/>
            <w:vAlign w:val="center"/>
          </w:tcPr>
          <w:p>
            <w:pPr>
              <w:spacing w:after="40"/>
            </w:pPr>
            <w:r>
              <w:rPr>
                <w:sz w:val="16"/>
              </w:rPr>
              <w:t>W2</w:t>
            </w:r>
          </w:p>
        </w:tc>
      </w:tr>
    </w:tbl>
    <w:p/>
    <w:p>
      <w:pPr>
        <w:pStyle w:val="Heading1"/>
      </w:pPr>
      <w:r>
        <w:t>8. Manager-ready status statement</w:t>
      </w:r>
    </w:p>
    <w:p>
      <w:r>
        <w:t>“Both AML and OFAC POCs have received positive business feedback. We propose an eight-week, semi-automated implementation baseline to standardize the data-to-Fact-Packet workflow and Claude report generation. The current critical dependencies are availability of authorized Ready Assess data and confirmation of the vendor’s output structure. Our team can progress requirements, mappings, prompts and mock-data validation in parallel; the production rollout date will be committed only after those dependencies, security checks and business UAT are cleared.”</w:t>
      </w:r>
    </w:p>
    <w:sectPr w:rsidR="00FC693F" w:rsidRPr="0006063C" w:rsidSect="00034616">
      <w:footerReference w:type="default" r:id="rId9"/>
      <w:pgSz w:w="12240" w:h="15840"/>
      <w:pgMar w:top="1109" w:right="1195" w:bottom="1037"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Ready Assess  |  GenAI-assisted AML &amp; OFAC reporting  |  Internal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