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6"/>
        </w:rPr>
        <w:t>文件三：运行环境依赖清单 (requirements.txt)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CCCCCC"/>
              <w:bottom w:val="single" w:sz="4" w:space="0" w:color="CCCCCC"/>
              <w:left w:val="single" w:sz="12" w:space="0" w:color="1B365D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20"/>
              </w:rPr>
              <w:t>fastapi&gt;=0.110.0</w:t>
              <w:br/>
              <w:t>uvicorn&gt;=0.28.0</w:t>
              <w:br/>
              <w:t>google-genai&gt;=0.1.1</w:t>
              <w:br/>
              <w:t>httpx&gt;=0.27.0</w:t>
              <w:br/>
            </w:r>
          </w:p>
        </w:tc>
      </w:tr>
    </w:tbl>
    <w:p>
      <w:pPr>
        <w:spacing w:after="16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