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Calibri" w:hAnsi="Calibri"/>
          <w:b/>
          <w:i w:val="0"/>
          <w:color w:val="1E40AF"/>
          <w:sz w:val="52"/>
        </w:rPr>
        <w:t>Knowledge Collapse — Recombination Extension</w:t>
      </w:r>
    </w:p>
    <w:p>
      <w:pPr>
        <w:jc w:val="center"/>
      </w:pPr>
      <w:r>
        <w:rPr>
          <w:rFonts w:ascii="Calibri" w:hAnsi="Calibri"/>
          <w:b w:val="0"/>
          <w:i/>
          <w:color w:val="374151"/>
          <w:sz w:val="28"/>
        </w:rPr>
        <w:t>Cross-Disciplinary Recombination as a Second Knowledge Spillover Channel</w:t>
      </w:r>
    </w:p>
    <w:p>
      <w:pPr>
        <w:jc w:val="center"/>
      </w:pPr>
      <w:r>
        <w:rPr>
          <w:rFonts w:ascii="Calibri" w:hAnsi="Calibri"/>
          <w:b w:val="0"/>
          <w:i w:val="0"/>
          <w:color w:val="374151"/>
          <w:sz w:val="22"/>
        </w:rPr>
        <w:t>Extension of Acemoglu, Kong &amp; Ozdaglar (2026)  ·  Project Summary</w:t>
      </w:r>
    </w:p>
    <w:p/>
    <w:p>
      <w:pPr>
        <w:spacing w:before="120" w:after="120"/>
        <w:pBdr>
          <w:bottom w:val="single" w:sz="4" w:space="1" w:color="BFDBFE"/>
        </w:pBdr>
      </w:pPr>
    </w:p>
    <w:p/>
    <w:p>
      <w:pPr>
        <w:spacing w:before="360" w:after="80"/>
      </w:pPr>
      <w:r>
        <w:rPr>
          <w:rFonts w:ascii="Calibri" w:hAnsi="Calibri"/>
          <w:b/>
          <w:i w:val="0"/>
          <w:color w:val="1E40AF"/>
          <w:sz w:val="36"/>
        </w:rPr>
        <w:t>Part 1 — Plain Language Summary</w:t>
      </w:r>
    </w:p>
    <w:p>
      <w:pPr>
        <w:spacing w:before="240" w:after="80"/>
      </w:pPr>
      <w:r>
        <w:rPr>
          <w:rFonts w:ascii="Calibri" w:hAnsi="Calibri"/>
          <w:b/>
          <w:i w:val="0"/>
          <w:color w:val="1E40AF"/>
          <w:sz w:val="28"/>
        </w:rPr>
        <w:t>The problem this extension solves</w:t>
      </w:r>
    </w:p>
    <w:p>
      <w:pPr>
        <w:spacing w:after="120" w:before="0"/>
      </w:pPr>
      <w:r>
        <w:rPr>
          <w:rFonts w:ascii="Calibri" w:hAnsi="Calibri"/>
          <w:b w:val="0"/>
          <w:i w:val="0"/>
          <w:color w:val="111827"/>
          <w:sz w:val="22"/>
        </w:rPr>
        <w:t>The original Acemoglu, Kong &amp; Ozdaglar (2026) paper proves that AI causes knowledge collapse: AI substitutes for human effort, effort falls, the public signals that sustain shared knowledge disappear, and the community's knowledge base erodes — permanently, once past the tipping point. The result is pessimistic and absorbing: once collapse begins, nothing within the model stops it.</w:t>
      </w:r>
    </w:p>
    <w:p>
      <w:pPr>
        <w:spacing w:after="120" w:before="0"/>
      </w:pPr>
      <w:r>
        <w:rPr>
          <w:rFonts w:ascii="Calibri" w:hAnsi="Calibri"/>
          <w:b w:val="0"/>
          <w:i w:val="0"/>
          <w:color w:val="111827"/>
          <w:sz w:val="22"/>
        </w:rPr>
        <w:t>The real world, however, has a mechanism the original model ignores: when a field stagnates, researchers don't just watch it collapse. They move. They combine insights from multiple failing fields to create new ones. Econophysics emerged from physics and economics. Behavioural economics from psychology and economics. Molecular biology from chemistry and biology. This is cross-disciplinary recombination — and it is precisely the kind of self-correcting response that could counteract AI-induced collapse.</w:t>
      </w:r>
    </w:p>
    <w:p>
      <w:pPr>
        <w:spacing w:after="160" w:before="0"/>
      </w:pPr>
      <w:r>
        <w:rPr>
          <w:rFonts w:ascii="Calibri" w:hAnsi="Calibri"/>
          <w:b/>
          <w:i w:val="0"/>
          <w:color w:val="111827"/>
          <w:sz w:val="22"/>
        </w:rPr>
        <w:t>This extension adds recombination as a second spillover channel alongside the original within-domain public signal. The question becomes: does recombination reverse collapse? Under what conditions? And does AI help or hurt when recombination is possible?</w:t>
      </w:r>
    </w:p>
    <w:p>
      <w:pPr>
        <w:spacing w:before="240" w:after="80"/>
      </w:pPr>
      <w:r>
        <w:rPr>
          <w:rFonts w:ascii="Calibri" w:hAnsi="Calibri"/>
          <w:b/>
          <w:i w:val="0"/>
          <w:color w:val="1E40AF"/>
          <w:sz w:val="28"/>
        </w:rPr>
        <w:t>The core mechanism in plain terms</w:t>
      </w:r>
    </w:p>
    <w:p>
      <w:pPr>
        <w:spacing w:after="120" w:before="0"/>
      </w:pPr>
      <w:r>
        <w:rPr>
          <w:rFonts w:ascii="Calibri" w:hAnsi="Calibri"/>
          <w:b w:val="0"/>
          <w:i w:val="0"/>
          <w:color w:val="111827"/>
          <w:sz w:val="22"/>
        </w:rPr>
        <w:t>Think of multiple research communities (domains), each building shared knowledge the same way the original model describes: through costly effort that produces both private and public signals. AI makes each agent more productive on their private task — but crowds out the effort that sustains domain-level shared knowledge. Domains erode.</w:t>
      </w:r>
    </w:p>
    <w:p>
      <w:pPr>
        <w:spacing w:after="120" w:before="0"/>
      </w:pPr>
      <w:r>
        <w:rPr>
          <w:rFonts w:ascii="Calibri" w:hAnsi="Calibri"/>
          <w:b w:val="0"/>
          <w:i w:val="0"/>
          <w:color w:val="111827"/>
          <w:sz w:val="22"/>
        </w:rPr>
        <w:t>When enough domains have eroded — specifically, when the average domain quality falls to a fraction δ of the pre-AI benchmark — a new domain is created. This is not arbitrary: it is the break-even point derived from the same credit incentives that govern effort in the baseline. A new domain is worth entering when its expected knowledge return equals the return in existing domains. That happens precisely when existing domains have decayed to δ·X_h0.</w:t>
      </w:r>
    </w:p>
    <w:p>
      <w:pPr>
        <w:spacing w:after="120" w:before="0"/>
      </w:pPr>
      <w:r>
        <w:rPr>
          <w:rFonts w:ascii="Calibri" w:hAnsi="Calibri"/>
          <w:b w:val="0"/>
          <w:i w:val="0"/>
          <w:color w:val="111827"/>
          <w:sz w:val="22"/>
        </w:rPr>
        <w:t>The new domain inherits knowledge from all its predecessors: a weighted average of their current knowledge levels (weighted by how many agents each domain has), plus a synergy bonus from every pair of domains (γ·Xᵢ·Xⱼ for each pair i, j). The synergy term captures Weitzman's insight: combining economics and psychology produced behavioural economics — richer than either predecessor alone.</w:t>
      </w:r>
    </w:p>
    <w:p>
      <w:pPr>
        <w:spacing w:after="160" w:before="0"/>
      </w:pPr>
      <w:r>
        <w:rPr>
          <w:rFonts w:ascii="Calibri" w:hAnsi="Calibri"/>
          <w:b w:val="0"/>
          <w:i w:val="0"/>
          <w:color w:val="111827"/>
          <w:sz w:val="22"/>
        </w:rPr>
        <w:t>Agents then reallocate across all domains (including the new one) until they are indifferent: each agent earns the same expected credit G(X_d)/N_d in every domain. More attractive domains (higher X_d) attract proportionally more agents.</w:t>
      </w:r>
    </w:p>
    <w:p>
      <w:pPr>
        <w:spacing w:before="240" w:after="80"/>
      </w:pPr>
      <w:r>
        <w:rPr>
          <w:rFonts w:ascii="Calibri" w:hAnsi="Calibri"/>
          <w:b/>
          <w:i w:val="0"/>
          <w:color w:val="1E40AF"/>
          <w:sz w:val="28"/>
        </w:rPr>
        <w:t>The surprising role of AI</w:t>
      </w:r>
    </w:p>
    <w:p>
      <w:pPr>
        <w:spacing w:after="120" w:before="0"/>
      </w:pPr>
      <w:r>
        <w:rPr>
          <w:rFonts w:ascii="Calibri" w:hAnsi="Calibri"/>
          <w:b w:val="0"/>
          <w:i w:val="0"/>
          <w:color w:val="111827"/>
          <w:sz w:val="22"/>
        </w:rPr>
        <w:t>In a closed economy (no recombination), AI is purely destructive: it erodes domain knowledge with no compensating mechanism. In an open economy (recombination possible), AI plays a counterintuitive role.</w:t>
      </w:r>
    </w:p>
    <w:p>
      <w:pPr>
        <w:spacing w:after="80" w:before="0"/>
      </w:pPr>
      <w:r>
        <w:rPr>
          <w:rFonts w:ascii="Calibri" w:hAnsi="Calibri"/>
          <w:b w:val="0"/>
          <w:i/>
          <w:color w:val="111827"/>
          <w:sz w:val="22"/>
        </w:rPr>
        <w:t>Without AI: no collapse, no trigger fires, no new domains, ΣX_d stays at X_h0.</w:t>
      </w:r>
    </w:p>
    <w:p>
      <w:pPr>
        <w:spacing w:after="80" w:before="0"/>
      </w:pPr>
      <w:r>
        <w:rPr>
          <w:rFonts w:ascii="Calibri" w:hAnsi="Calibri"/>
          <w:b w:val="0"/>
          <w:i/>
          <w:color w:val="111827"/>
          <w:sz w:val="22"/>
        </w:rPr>
        <w:t>With AI: domains erode, triggers fire continuously, recombination cascade activates, ΣX_d can grow far above X_h0.</w:t>
      </w:r>
    </w:p>
    <w:p>
      <w:pPr>
        <w:spacing w:after="160" w:before="0"/>
      </w:pPr>
      <w:r>
        <w:rPr>
          <w:rFonts w:ascii="Calibri" w:hAnsi="Calibri"/>
          <w:b/>
          <w:i w:val="0"/>
          <w:color w:val="111827"/>
          <w:sz w:val="22"/>
        </w:rPr>
        <w:t>AI, by destabilising individual domains, activates the cascade that would never fire otherwise. The force that destroys the original knowledge production mechanism is precisely what creates the conditions for recombination to thrive. AI is a complement to recombination.</w:t>
      </w:r>
    </w:p>
    <w:p>
      <w:pPr>
        <w:spacing w:before="240" w:after="80"/>
      </w:pPr>
      <w:r>
        <w:rPr>
          <w:rFonts w:ascii="Calibri" w:hAnsi="Calibri"/>
          <w:b/>
          <w:i w:val="0"/>
          <w:color w:val="1E40AF"/>
          <w:sz w:val="28"/>
        </w:rPr>
        <w:t>The five predictions</w:t>
      </w:r>
    </w:p>
    <w:p>
      <w:pPr>
        <w:pStyle w:val="ListBullet"/>
        <w:spacing w:after="40"/>
        <w:ind w:left="432"/>
      </w:pPr>
      <w:r>
        <w:rPr>
          <w:rFonts w:ascii="Calibri" w:hAnsi="Calibri"/>
          <w:b/>
          <w:i w:val="0"/>
          <w:color w:val="111827"/>
          <w:sz w:val="22"/>
        </w:rPr>
        <w:t xml:space="preserve">P1 — Recombination threshold: </w:t>
      </w:r>
      <w:r>
        <w:rPr>
          <w:rFonts w:ascii="Calibri" w:hAnsi="Calibri"/>
          <w:b w:val="0"/>
          <w:i w:val="0"/>
          <w:color w:val="111827"/>
          <w:sz w:val="22"/>
        </w:rPr>
        <w:t>There is a threshold δ* above which recombination reverses collapse (ΣX_d grows over time) and below which it fails to offset decay (ΣX_d still falls). δ is the knowledge transferability parameter — how much of the predecessor's knowledge survives the move to a new context.</w:t>
      </w:r>
    </w:p>
    <w:p>
      <w:pPr>
        <w:pStyle w:val="ListBullet"/>
        <w:spacing w:after="40"/>
        <w:ind w:left="432"/>
      </w:pPr>
      <w:r>
        <w:rPr>
          <w:rFonts w:ascii="Calibri" w:hAnsi="Calibri"/>
          <w:b/>
          <w:i w:val="0"/>
          <w:color w:val="111827"/>
          <w:sz w:val="22"/>
        </w:rPr>
        <w:t xml:space="preserve">P2 — Monotone trend: </w:t>
      </w:r>
      <w:r>
        <w:rPr>
          <w:rFonts w:ascii="Calibri" w:hAnsi="Calibri"/>
          <w:b w:val="0"/>
          <w:i w:val="0"/>
          <w:color w:val="111827"/>
          <w:sz w:val="22"/>
        </w:rPr>
        <w:t>ΣX_d trends clearly up or down over time; it is almost never flat. The competition between recombination gain at each spawn and continuous decay across all periods produces a dominant directional force. The transition at δ* is sharp.</w:t>
      </w:r>
    </w:p>
    <w:p>
      <w:pPr>
        <w:pStyle w:val="ListBullet"/>
        <w:spacing w:after="40"/>
        <w:ind w:left="432"/>
      </w:pPr>
      <w:r>
        <w:rPr>
          <w:rFonts w:ascii="Calibri" w:hAnsi="Calibri"/>
          <w:b/>
          <w:i w:val="0"/>
          <w:color w:val="111827"/>
          <w:sz w:val="22"/>
        </w:rPr>
        <w:t xml:space="preserve">P3 — Open beats closed: </w:t>
      </w:r>
      <w:r>
        <w:rPr>
          <w:rFonts w:ascii="Calibri" w:hAnsi="Calibri"/>
          <w:b w:val="0"/>
          <w:i w:val="0"/>
          <w:color w:val="111827"/>
          <w:sz w:val="22"/>
        </w:rPr>
        <w:t>AI+recombination (open economy) always outperforms AI without recombination (closed economy), for any δ &gt; 0 and any τ_A. Even a tiny δ provides some inheritance at each spawn that the closed economy never receives.</w:t>
      </w:r>
    </w:p>
    <w:p>
      <w:pPr>
        <w:pStyle w:val="ListBullet"/>
        <w:spacing w:after="40"/>
        <w:ind w:left="432"/>
      </w:pPr>
      <w:r>
        <w:rPr>
          <w:rFonts w:ascii="Calibri" w:hAnsi="Calibri"/>
          <w:b/>
          <w:i w:val="0"/>
          <w:color w:val="111827"/>
          <w:sz w:val="22"/>
        </w:rPr>
        <w:t xml:space="preserve">P4 — AI as complement: </w:t>
      </w:r>
      <w:r>
        <w:rPr>
          <w:rFonts w:ascii="Calibri" w:hAnsi="Calibri"/>
          <w:b w:val="0"/>
          <w:i w:val="0"/>
          <w:color w:val="111827"/>
          <w:sz w:val="22"/>
        </w:rPr>
        <w:t>AI+recombination outperforms no-AI+recombination for all AI levels above the collapse threshold τ_A^c. ΣX_d is hump-shaped in τ_A — it peaks at intermediate AI capability and declines at very high τ_A (domains collapse too fast for inheritance to accumulate). But for the entire range τ_A &gt; τ_A^c, the open economy with AI exceeds the open economy without AI.</w:t>
      </w:r>
    </w:p>
    <w:p>
      <w:pPr>
        <w:pStyle w:val="ListBullet"/>
        <w:spacing w:after="40"/>
        <w:ind w:left="432"/>
      </w:pPr>
      <w:r>
        <w:rPr>
          <w:rFonts w:ascii="Calibri" w:hAnsi="Calibri"/>
          <w:b/>
          <w:i w:val="0"/>
          <w:color w:val="111827"/>
          <w:sz w:val="22"/>
        </w:rPr>
        <w:t xml:space="preserve">P5 — Full reversal condition: </w:t>
      </w:r>
      <w:r>
        <w:rPr>
          <w:rFonts w:ascii="Calibri" w:hAnsi="Calibri"/>
          <w:b w:val="0"/>
          <w:i w:val="0"/>
          <w:color w:val="111827"/>
          <w:sz w:val="22"/>
        </w:rPr>
        <w:t>ΣX_d(T) exceeds the pre-AI benchmark X_h0 if and only if δ &gt; δ*. Below δ*, the cascade adds some knowledge but decay dominates — total knowledge stays below the pre-AI level. Above δ*, recombination accumulates faster than decay removes — full reversal of Acemoglu's result.</w:t>
      </w:r>
    </w:p>
    <w:p/>
    <w:p>
      <w:pPr>
        <w:spacing w:before="120" w:after="120"/>
        <w:pBdr>
          <w:bottom w:val="single" w:sz="4" w:space="1" w:color="BFDBFE"/>
        </w:pBdr>
      </w:pPr>
    </w:p>
    <w:p>
      <w:r>
        <w:br w:type="page"/>
      </w:r>
    </w:p>
    <w:p>
      <w:pPr>
        <w:spacing w:before="360" w:after="80"/>
      </w:pPr>
      <w:r>
        <w:rPr>
          <w:rFonts w:ascii="Calibri" w:hAnsi="Calibri"/>
          <w:b/>
          <w:i w:val="0"/>
          <w:color w:val="1E40AF"/>
          <w:sz w:val="36"/>
        </w:rPr>
        <w:t>Part 2 — Detailed Technical Summary</w:t>
      </w:r>
    </w:p>
    <w:p>
      <w:pPr>
        <w:spacing w:before="240" w:after="80"/>
      </w:pPr>
      <w:r>
        <w:rPr>
          <w:rFonts w:ascii="Calibri" w:hAnsi="Calibri"/>
          <w:b/>
          <w:i w:val="0"/>
          <w:color w:val="1E40AF"/>
          <w:sz w:val="28"/>
        </w:rPr>
        <w:t>2.1  Relationship to the Baseline Model</w:t>
      </w:r>
    </w:p>
    <w:p>
      <w:pPr>
        <w:spacing w:after="120" w:before="0"/>
      </w:pPr>
      <w:r>
        <w:rPr>
          <w:rFonts w:ascii="Calibri" w:hAnsi="Calibri"/>
          <w:b w:val="0"/>
          <w:i w:val="0"/>
          <w:color w:val="111827"/>
          <w:sz w:val="22"/>
        </w:rPr>
        <w:t>The extension builds directly on Acemoglu, Kong &amp; Ozdaglar (2026). The baseline model's entire mathematical structure — the effort FOC, the law of motion F(X), the credit function G(τ) = 2Φ(√τ) − 1, the collapse threshold τ_A^c — is preserved unchanged. The extension adds a second dimension: multiple domains that can spawn, die, and pass knowledge to successors. The baseline is recovered exactly when δ = 0 (no knowledge transfers, spawning has no effect).</w:t>
      </w:r>
    </w:p>
    <w:p>
      <w:pPr>
        <w:spacing w:after="160" w:before="0"/>
      </w:pPr>
      <w:r>
        <w:rPr>
          <w:rFonts w:ascii="Calibri" w:hAnsi="Calibri"/>
          <w:b w:val="0"/>
          <w:i w:val="0"/>
          <w:color w:val="111827"/>
          <w:sz w:val="22"/>
        </w:rPr>
        <w:t>This means the extension is a strict superset: every parameter and prediction of the baseline remains valid. The new parameters (δ, γ) add mechanisms on top of the original collapse dynamics.</w:t>
      </w:r>
    </w:p>
    <w:p>
      <w:pPr>
        <w:spacing w:before="240" w:after="80"/>
      </w:pPr>
      <w:r>
        <w:rPr>
          <w:rFonts w:ascii="Calibri" w:hAnsi="Calibri"/>
          <w:b/>
          <w:i w:val="0"/>
          <w:color w:val="1E40AF"/>
          <w:sz w:val="28"/>
        </w:rPr>
        <w:t>2.2  Three Knowledge Layers</w:t>
      </w:r>
    </w:p>
    <w:p>
      <w:pPr>
        <w:spacing w:after="80" w:before="0"/>
      </w:pPr>
      <w:r>
        <w:rPr>
          <w:rFonts w:ascii="Calibri" w:hAnsi="Calibri"/>
          <w:b w:val="0"/>
          <w:i w:val="0"/>
          <w:color w:val="111827"/>
          <w:sz w:val="22"/>
        </w:rPr>
        <w:t>The extension introduces three distinct knowledge types with different economic roles: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E40AF"/>
          </w:tcPr>
          <w:p>
            <w:r/>
            <w:r>
              <w:rPr>
                <w:rFonts w:ascii="Calibri" w:hAnsi="Calibri"/>
                <w:b/>
                <w:i w:val="0"/>
                <w:color w:val="FFFFFF"/>
                <w:sz w:val="20"/>
              </w:rPr>
              <w:t>Layer</w:t>
            </w:r>
          </w:p>
        </w:tc>
        <w:tc>
          <w:tcPr>
            <w:tcW w:type="dxa" w:w="2880"/>
            <w:shd w:val="clear" w:color="auto" w:fill="1E40AF"/>
          </w:tcPr>
          <w:p>
            <w:r/>
            <w:r>
              <w:rPr>
                <w:rFonts w:ascii="Calibri" w:hAnsi="Calibri"/>
                <w:b/>
                <w:i w:val="0"/>
                <w:color w:val="FFFFFF"/>
                <w:sz w:val="20"/>
              </w:rPr>
              <w:t>Symbol</w:t>
            </w:r>
          </w:p>
        </w:tc>
        <w:tc>
          <w:tcPr>
            <w:tcW w:type="dxa" w:w="2016"/>
            <w:shd w:val="clear" w:color="auto" w:fill="1E40AF"/>
          </w:tcPr>
          <w:p>
            <w:r/>
            <w:r>
              <w:rPr>
                <w:rFonts w:ascii="Calibri" w:hAnsi="Calibri"/>
                <w:b/>
                <w:i w:val="0"/>
                <w:color w:val="FFFFFF"/>
                <w:sz w:val="20"/>
              </w:rPr>
              <w:t>Persistence</w:t>
            </w:r>
          </w:p>
        </w:tc>
        <w:tc>
          <w:tcPr>
            <w:tcW w:type="dxa" w:w="1872"/>
            <w:shd w:val="clear" w:color="auto" w:fill="1E40AF"/>
          </w:tcPr>
          <w:p>
            <w:r/>
            <w:r>
              <w:rPr>
                <w:rFonts w:ascii="Calibri" w:hAnsi="Calibri"/>
                <w:b/>
                <w:i w:val="0"/>
                <w:color w:val="FFFFFF"/>
                <w:sz w:val="20"/>
              </w:rPr>
              <w:t>Who observes</w:t>
            </w:r>
          </w:p>
        </w:tc>
        <w:tc>
          <w:tcPr>
            <w:tcW w:type="dxa" w:w="2160"/>
            <w:shd w:val="clear" w:color="auto" w:fill="1E40AF"/>
          </w:tcPr>
          <w:p>
            <w:r/>
            <w:r>
              <w:rPr>
                <w:rFonts w:ascii="Calibri" w:hAnsi="Calibri"/>
                <w:b/>
                <w:i w:val="0"/>
                <w:color w:val="FFFFFF"/>
                <w:sz w:val="20"/>
              </w:rPr>
              <w:t>Drives what</w:t>
            </w:r>
          </w:p>
        </w:tc>
      </w:tr>
      <w:tr>
        <w:tc>
          <w:tcPr>
            <w:tcW w:type="dxa" w:w="1728"/>
            <w:shd w:val="clear" w:color="auto" w:fill="EFF6FF"/>
          </w:tcPr>
          <w:p>
            <w:r/>
            <w:r>
              <w:rPr>
                <w:rFonts w:ascii="Calibri" w:hAnsi="Calibri"/>
                <w:b w:val="0"/>
                <w:i w:val="0"/>
                <w:color w:val="111827"/>
                <w:sz w:val="20"/>
              </w:rPr>
              <w:t>Task knowledge</w:t>
            </w:r>
          </w:p>
        </w:tc>
        <w:tc>
          <w:tcPr>
            <w:tcW w:type="dxa" w:w="2880"/>
            <w:shd w:val="clear" w:color="auto" w:fill="EFF6FF"/>
          </w:tcPr>
          <w:p>
            <w:r/>
            <w:r>
              <w:rPr>
                <w:rFonts w:ascii="Calibri" w:hAnsi="Calibri"/>
                <w:b w:val="0"/>
                <w:i w:val="0"/>
                <w:color w:val="111827"/>
                <w:sz w:val="20"/>
              </w:rPr>
              <w:t>Y_{i,t} = σ⁻² + λ_I·e + τ_A</w:t>
            </w:r>
          </w:p>
        </w:tc>
        <w:tc>
          <w:tcPr>
            <w:tcW w:type="dxa" w:w="2016"/>
            <w:shd w:val="clear" w:color="auto" w:fill="EFF6FF"/>
          </w:tcPr>
          <w:p>
            <w:r/>
            <w:r>
              <w:rPr>
                <w:rFonts w:ascii="Calibri" w:hAnsi="Calibri"/>
                <w:b w:val="0"/>
                <w:i w:val="0"/>
                <w:color w:val="111827"/>
                <w:sz w:val="20"/>
              </w:rPr>
              <w:t>Resets every period</w:t>
            </w:r>
          </w:p>
        </w:tc>
        <w:tc>
          <w:tcPr>
            <w:tcW w:type="dxa" w:w="1872"/>
            <w:shd w:val="clear" w:color="auto" w:fill="EFF6FF"/>
          </w:tcPr>
          <w:p>
            <w:r/>
            <w:r>
              <w:rPr>
                <w:rFonts w:ascii="Calibri" w:hAnsi="Calibri"/>
                <w:b w:val="0"/>
                <w:i w:val="0"/>
                <w:color w:val="111827"/>
                <w:sz w:val="20"/>
              </w:rPr>
              <w:t>Agent i only</w:t>
            </w:r>
          </w:p>
        </w:tc>
        <w:tc>
          <w:tcPr>
            <w:tcW w:type="dxa" w:w="2160"/>
            <w:shd w:val="clear" w:color="auto" w:fill="EFF6FF"/>
          </w:tcPr>
          <w:p>
            <w:r/>
            <w:r>
              <w:rPr>
                <w:rFonts w:ascii="Calibri" w:hAnsi="Calibri"/>
                <w:b w:val="0"/>
                <w:i w:val="0"/>
                <w:color w:val="111827"/>
                <w:sz w:val="20"/>
              </w:rPr>
              <w:t>Agent's private output; AI enters here</w:t>
            </w:r>
          </w:p>
        </w:tc>
      </w:tr>
      <w:tr>
        <w:tc>
          <w:tcPr>
            <w:tcW w:type="dxa" w:w="1728"/>
            <w:shd w:val="clear" w:color="auto" w:fill="FFFFFF"/>
          </w:tcPr>
          <w:p>
            <w:r/>
            <w:r>
              <w:rPr>
                <w:rFonts w:ascii="Calibri" w:hAnsi="Calibri"/>
                <w:b w:val="0"/>
                <w:i w:val="0"/>
                <w:color w:val="111827"/>
                <w:sz w:val="20"/>
              </w:rPr>
              <w:t>Domain knowledge</w:t>
            </w:r>
          </w:p>
        </w:tc>
        <w:tc>
          <w:tcPr>
            <w:tcW w:type="dxa" w:w="2880"/>
            <w:shd w:val="clear" w:color="auto" w:fill="FFFFFF"/>
          </w:tcPr>
          <w:p>
            <w:r/>
            <w:r>
              <w:rPr>
                <w:rFonts w:ascii="Calibri" w:hAnsi="Calibri"/>
                <w:b w:val="0"/>
                <w:i w:val="0"/>
                <w:color w:val="111827"/>
                <w:sz w:val="20"/>
              </w:rPr>
              <w:t>X_{d,t}  (law of motion below)</w:t>
            </w:r>
          </w:p>
        </w:tc>
        <w:tc>
          <w:tcPr>
            <w:tcW w:type="dxa" w:w="2016"/>
            <w:shd w:val="clear" w:color="auto" w:fill="FFFFFF"/>
          </w:tcPr>
          <w:p>
            <w:r/>
            <w:r>
              <w:rPr>
                <w:rFonts w:ascii="Calibri" w:hAnsi="Calibri"/>
                <w:b w:val="0"/>
                <w:i w:val="0"/>
                <w:color w:val="111827"/>
                <w:sz w:val="20"/>
              </w:rPr>
              <w:t>Persistent; compounds over time</w:t>
            </w:r>
          </w:p>
        </w:tc>
        <w:tc>
          <w:tcPr>
            <w:tcW w:type="dxa" w:w="1872"/>
            <w:shd w:val="clear" w:color="auto" w:fill="FFFFFF"/>
          </w:tcPr>
          <w:p>
            <w:r/>
            <w:r>
              <w:rPr>
                <w:rFonts w:ascii="Calibri" w:hAnsi="Calibri"/>
                <w:b w:val="0"/>
                <w:i w:val="0"/>
                <w:color w:val="111827"/>
                <w:sz w:val="20"/>
              </w:rPr>
              <w:t>All agents in domain d</w:t>
            </w:r>
          </w:p>
        </w:tc>
        <w:tc>
          <w:tcPr>
            <w:tcW w:type="dxa" w:w="2160"/>
            <w:shd w:val="clear" w:color="auto" w:fill="FFFFFF"/>
          </w:tcPr>
          <w:p>
            <w:r/>
            <w:r>
              <w:rPr>
                <w:rFonts w:ascii="Calibri" w:hAnsi="Calibri"/>
                <w:b w:val="0"/>
                <w:i w:val="0"/>
                <w:color w:val="111827"/>
                <w:sz w:val="20"/>
              </w:rPr>
              <w:t>Effort FOC; public signal production; spawn trigger</w:t>
            </w:r>
          </w:p>
        </w:tc>
      </w:tr>
      <w:tr>
        <w:tc>
          <w:tcPr>
            <w:tcW w:type="dxa" w:w="1728"/>
            <w:shd w:val="clear" w:color="auto" w:fill="EFF6FF"/>
          </w:tcPr>
          <w:p>
            <w:r/>
            <w:r>
              <w:rPr>
                <w:rFonts w:ascii="Calibri" w:hAnsi="Calibri"/>
                <w:b w:val="0"/>
                <w:i w:val="0"/>
                <w:color w:val="111827"/>
                <w:sz w:val="20"/>
              </w:rPr>
              <w:t>General knowledge</w:t>
            </w:r>
          </w:p>
        </w:tc>
        <w:tc>
          <w:tcPr>
            <w:tcW w:type="dxa" w:w="2880"/>
            <w:shd w:val="clear" w:color="auto" w:fill="EFF6FF"/>
          </w:tcPr>
          <w:p>
            <w:r/>
            <w:r>
              <w:rPr>
                <w:rFonts w:ascii="Calibri" w:hAnsi="Calibri"/>
                <w:b w:val="0"/>
                <w:i w:val="0"/>
                <w:color w:val="111827"/>
                <w:sz w:val="20"/>
              </w:rPr>
              <w:t>ΣX_d  (Bayesian sum across domains)</w:t>
            </w:r>
          </w:p>
        </w:tc>
        <w:tc>
          <w:tcPr>
            <w:tcW w:type="dxa" w:w="2016"/>
            <w:shd w:val="clear" w:color="auto" w:fill="EFF6FF"/>
          </w:tcPr>
          <w:p>
            <w:r/>
            <w:r>
              <w:rPr>
                <w:rFonts w:ascii="Calibri" w:hAnsi="Calibri"/>
                <w:b w:val="0"/>
                <w:i w:val="0"/>
                <w:color w:val="111827"/>
                <w:sz w:val="20"/>
              </w:rPr>
              <w:t>Analyst metric only</w:t>
            </w:r>
          </w:p>
        </w:tc>
        <w:tc>
          <w:tcPr>
            <w:tcW w:type="dxa" w:w="1872"/>
            <w:shd w:val="clear" w:color="auto" w:fill="EFF6FF"/>
          </w:tcPr>
          <w:p>
            <w:r/>
            <w:r>
              <w:rPr>
                <w:rFonts w:ascii="Calibri" w:hAnsi="Calibri"/>
                <w:b w:val="0"/>
                <w:i w:val="0"/>
                <w:color w:val="111827"/>
                <w:sz w:val="20"/>
              </w:rPr>
              <w:t>Analyst only — not in any agent's info set</w:t>
            </w:r>
          </w:p>
        </w:tc>
        <w:tc>
          <w:tcPr>
            <w:tcW w:type="dxa" w:w="2160"/>
            <w:shd w:val="clear" w:color="auto" w:fill="EFF6FF"/>
          </w:tcPr>
          <w:p>
            <w:r/>
            <w:r>
              <w:rPr>
                <w:rFonts w:ascii="Calibri" w:hAnsi="Calibri"/>
                <w:b w:val="0"/>
                <w:i w:val="0"/>
                <w:color w:val="111827"/>
                <w:sz w:val="20"/>
              </w:rPr>
              <w:t>Primary welfare metric; P1–P5 all stated in terms of ΣX_d</w:t>
            </w:r>
          </w:p>
        </w:tc>
      </w:tr>
    </w:tbl>
    <w:p/>
    <w:p>
      <w:pPr>
        <w:spacing w:after="160" w:before="0"/>
      </w:pPr>
      <w:r>
        <w:rPr>
          <w:rFonts w:ascii="Calibri" w:hAnsi="Calibri"/>
          <w:b w:val="0"/>
          <w:i w:val="0"/>
          <w:color w:val="111827"/>
          <w:sz w:val="22"/>
        </w:rPr>
        <w:t>A critical design choice: agents do NOT observe or optimise over ΣX_d. Each agent knows only their own domain's X_{d,t}. This is realistic — a macroeconomist optimises given the state of macroeconomics, not the total stock of all human knowledge. If agents observed ΣX_d, their FOC would change fundamentally and the public-good externality logic would break down.</w:t>
      </w:r>
    </w:p>
    <w:p>
      <w:pPr>
        <w:spacing w:before="240" w:after="80"/>
      </w:pPr>
      <w:r>
        <w:rPr>
          <w:rFonts w:ascii="Calibri" w:hAnsi="Calibri"/>
          <w:b/>
          <w:i w:val="0"/>
          <w:color w:val="1E40AF"/>
          <w:sz w:val="28"/>
        </w:rPr>
        <w:t>2.3  Domain-Level Law of Motion</w:t>
      </w:r>
    </w:p>
    <w:p>
      <w:pPr>
        <w:spacing w:after="40" w:before="0"/>
      </w:pPr>
      <w:r>
        <w:rPr>
          <w:rFonts w:ascii="Calibri" w:hAnsi="Calibri"/>
          <w:b w:val="0"/>
          <w:i w:val="0"/>
          <w:color w:val="111827"/>
          <w:sz w:val="22"/>
        </w:rPr>
        <w:t>Each domain d follows the original Acemoglu law of motion:</w:t>
      </w:r>
    </w:p>
    <w:p>
      <w:pPr>
        <w:spacing w:after="120"/>
        <w:ind w:left="720"/>
      </w:pPr>
      <w:r>
        <w:rPr>
          <w:rFonts w:ascii="Calibri" w:hAnsi="Calibri"/>
          <w:b/>
          <w:i w:val="0"/>
          <w:color w:val="1E40AF"/>
          <w:sz w:val="22"/>
        </w:rPr>
        <w:t>X_{d,t+1}  =  [(X_{d,t} + λ_G · N_d · ē*(X_{d,t}, τ_A))⁻¹  +  Σ²]⁻¹</w:t>
      </w:r>
    </w:p>
    <w:p>
      <w:pPr>
        <w:spacing w:after="40" w:before="0"/>
      </w:pPr>
      <w:r>
        <w:rPr>
          <w:rFonts w:ascii="Calibri" w:hAnsi="Calibri"/>
          <w:b w:val="0"/>
          <w:i w:val="0"/>
          <w:color w:val="111827"/>
          <w:sz w:val="22"/>
        </w:rPr>
        <w:t>where ē*(X_{d,t}, τ_A) is the equilibrium effort in domain d, solved from the FOC:</w:t>
      </w:r>
    </w:p>
    <w:p>
      <w:pPr>
        <w:spacing w:after="120"/>
        <w:ind w:left="720"/>
      </w:pPr>
      <w:r>
        <w:rPr>
          <w:rFonts w:ascii="Calibri" w:hAnsi="Calibri"/>
          <w:b/>
          <w:i w:val="0"/>
          <w:color w:val="1E40AF"/>
          <w:sz w:val="22"/>
        </w:rPr>
        <w:t>G(X_{d,t}) · λ_I · g(σ⁻² + λ_I·e + τ_A)  =  e^(α−1)</w:t>
      </w:r>
    </w:p>
    <w:p>
      <w:pPr>
        <w:spacing w:after="160" w:before="0"/>
      </w:pPr>
      <w:r>
        <w:rPr>
          <w:rFonts w:ascii="Calibri" w:hAnsi="Calibri"/>
          <w:b w:val="0"/>
          <w:i w:val="0"/>
          <w:color w:val="111827"/>
          <w:sz w:val="22"/>
        </w:rPr>
        <w:t>This is identical to the baseline equation — the only new element is that N_d (agents in domain d) is now determined by the credit equilibrium rather than being fixed.</w:t>
      </w:r>
    </w:p>
    <w:p>
      <w:pPr>
        <w:spacing w:before="240" w:after="80"/>
      </w:pPr>
      <w:r>
        <w:rPr>
          <w:rFonts w:ascii="Calibri" w:hAnsi="Calibri"/>
          <w:b/>
          <w:i w:val="0"/>
          <w:color w:val="1E40AF"/>
          <w:sz w:val="28"/>
        </w:rPr>
        <w:t>2.4  Endogenous Spawn Trigger</w:t>
      </w:r>
    </w:p>
    <w:p>
      <w:pPr>
        <w:spacing w:after="40" w:before="0"/>
      </w:pPr>
      <w:r>
        <w:rPr>
          <w:rFonts w:ascii="Calibri" w:hAnsi="Calibri"/>
          <w:b w:val="0"/>
          <w:i w:val="0"/>
          <w:color w:val="111827"/>
          <w:sz w:val="22"/>
        </w:rPr>
        <w:t>A new domain d' is created when average domain knowledge falls to the break-even level implied by the credit equilibrium. The spawn condition is:</w:t>
      </w:r>
    </w:p>
    <w:p>
      <w:pPr>
        <w:spacing w:after="120"/>
        <w:ind w:left="720"/>
      </w:pPr>
      <w:r>
        <w:rPr>
          <w:rFonts w:ascii="Calibri" w:hAnsi="Calibri"/>
          <w:b/>
          <w:i w:val="0"/>
          <w:color w:val="1E40AF"/>
          <w:sz w:val="22"/>
        </w:rPr>
        <w:t>ΣX_d / k  &lt;  δ · X_h0</w:t>
      </w:r>
    </w:p>
    <w:p>
      <w:pPr>
        <w:spacing w:after="120" w:before="0"/>
      </w:pPr>
      <w:r>
        <w:rPr>
          <w:rFonts w:ascii="Calibri" w:hAnsi="Calibri"/>
          <w:b w:val="0"/>
          <w:i w:val="0"/>
          <w:color w:val="111827"/>
          <w:sz w:val="22"/>
        </w:rPr>
        <w:t>where k is the current number of active domains and X_h0 is the pre-AI steady-state knowledge level (the high-knowledge equilibrium at τ_A = 0).</w:t>
      </w:r>
    </w:p>
    <w:p>
      <w:pPr>
        <w:spacing w:after="120" w:before="0"/>
      </w:pPr>
      <w:r>
        <w:rPr>
          <w:rFonts w:ascii="Calibri" w:hAnsi="Calibri"/>
          <w:b w:val="0"/>
          <w:i w:val="0"/>
          <w:color w:val="111827"/>
          <w:sz w:val="22"/>
        </w:rPr>
        <w:t>This is not an arbitrary threshold — it is derived from the break-even condition in the credit market. A new domain is worth creating when its expected credit return equals the return in existing domains. At the spawn condition, a new domain born with X_{d',0} = δ·(ΣX_d/k) = δ²·X_h0 matches the current average quality of existing domains. Entry is immediately worthwhile.</w:t>
      </w:r>
    </w:p>
    <w:p>
      <w:pPr>
        <w:spacing w:after="120" w:before="0"/>
      </w:pPr>
      <w:r>
        <w:rPr>
          <w:rFonts w:ascii="Calibri" w:hAnsi="Calibri"/>
          <w:b w:val="0"/>
          <w:i w:val="0"/>
          <w:color w:val="111827"/>
          <w:sz w:val="22"/>
        </w:rPr>
        <w:t>The same δ governs both how much knowledge transfers (inheritance rate) and when spawning is worthwhile (break-even threshold). This is not a modelling shortcut — it is a theoretical economy: one parameter doing double duty because the same credit mechanism that determines knowledge value also determines when new entry is attractive.</w:t>
      </w:r>
    </w:p>
    <w:p>
      <w:pPr>
        <w:spacing w:after="120" w:before="0"/>
      </w:pPr>
      <w:r>
        <w:rPr>
          <w:rFonts w:ascii="Calibri" w:hAnsi="Calibri"/>
          <w:b w:val="0"/>
          <w:i w:val="0"/>
          <w:color w:val="111827"/>
          <w:sz w:val="22"/>
        </w:rPr>
        <w:t>Consequence: higher δ means spawning fires earlier (when domains have only decayed to 85% of X_h0 for δ=0.85, rather than 50% for δ=0.5) and inheritance is richer. δ simultaneously controls the timing and the quality of the cascade.</w:t>
      </w:r>
    </w:p>
    <w:p>
      <w:pPr>
        <w:spacing w:after="160" w:before="0"/>
      </w:pPr>
      <w:r>
        <w:rPr>
          <w:rFonts w:ascii="Calibri" w:hAnsi="Calibri"/>
          <w:b w:val="0"/>
          <w:i w:val="0"/>
          <w:color w:val="111827"/>
          <w:sz w:val="22"/>
        </w:rPr>
        <w:t>Once the cascade begins, the trigger fires every period. After spawn, the new domain inherits δ·(average X), which is itself below δ·X_h0 (since the average just reached that threshold). So the next period's average is again below the threshold and spawning continues. This continuous spawning is correct model behaviour — not a bug. Whether general knowledge grows or falls depends entirely on how much each spawn contributes, not on how frequently spawning occurs.</w:t>
      </w:r>
    </w:p>
    <w:p>
      <w:pPr>
        <w:spacing w:before="240" w:after="80"/>
      </w:pPr>
      <w:r>
        <w:rPr>
          <w:rFonts w:ascii="Calibri" w:hAnsi="Calibri"/>
          <w:b/>
          <w:i w:val="0"/>
          <w:color w:val="1E40AF"/>
          <w:sz w:val="28"/>
        </w:rPr>
        <w:t>2.5  Convergent Inheritance</w:t>
      </w:r>
    </w:p>
    <w:p>
      <w:pPr>
        <w:spacing w:after="40" w:before="0"/>
      </w:pPr>
      <w:r>
        <w:rPr>
          <w:rFonts w:ascii="Calibri" w:hAnsi="Calibri"/>
          <w:b w:val="0"/>
          <w:i w:val="0"/>
          <w:color w:val="111827"/>
          <w:sz w:val="22"/>
        </w:rPr>
        <w:t>When domain d' is spawned, it inherits from ALL active predecessor domains — not just the most recently created one (chain inheritance) and not equally from all (uniform).</w:t>
      </w:r>
    </w:p>
    <w:p>
      <w:pPr>
        <w:spacing w:after="120"/>
        <w:ind w:left="720"/>
      </w:pPr>
      <w:r>
        <w:rPr>
          <w:rFonts w:ascii="Calibri" w:hAnsi="Calibri"/>
          <w:b/>
          <w:i w:val="0"/>
          <w:color w:val="1E40AF"/>
          <w:sz w:val="22"/>
        </w:rPr>
        <w:t>X_{d',0}  =  δ · (Σ_d w_d · X_d  +  γ · Σ_{i&lt;j} w_i · X_i · w_j · X_j)</w:t>
      </w:r>
    </w:p>
    <w:p>
      <w:pPr>
        <w:spacing w:after="120" w:before="0"/>
      </w:pPr>
      <w:r>
        <w:rPr>
          <w:rFonts w:ascii="Calibri" w:hAnsi="Calibri"/>
          <w:b w:val="0"/>
          <w:i w:val="0"/>
          <w:color w:val="111827"/>
          <w:sz w:val="22"/>
        </w:rPr>
        <w:t>where  w_d = N_d / N  is the agent share of domain d (from the credit equilibrium).</w:t>
      </w:r>
    </w:p>
    <w:p>
      <w:pPr>
        <w:spacing w:after="40" w:before="0"/>
      </w:pPr>
      <w:r>
        <w:rPr>
          <w:rFonts w:ascii="Calibri" w:hAnsi="Calibri"/>
          <w:b w:val="0"/>
          <w:i w:val="0"/>
          <w:color w:val="111827"/>
          <w:sz w:val="22"/>
        </w:rPr>
        <w:t>The two terms serve distinct roles:</w:t>
      </w:r>
    </w:p>
    <w:p>
      <w:pPr>
        <w:pStyle w:val="ListBullet"/>
        <w:spacing w:after="40"/>
        <w:ind w:left="432"/>
      </w:pPr>
      <w:r>
        <w:rPr>
          <w:rFonts w:ascii="Calibri" w:hAnsi="Calibri"/>
          <w:b/>
          <w:i w:val="0"/>
          <w:color w:val="111827"/>
          <w:sz w:val="22"/>
        </w:rPr>
        <w:t xml:space="preserve">First term: Σ w_d · X_d: </w:t>
      </w:r>
      <w:r>
        <w:rPr>
          <w:rFonts w:ascii="Calibri" w:hAnsi="Calibri"/>
          <w:b w:val="0"/>
          <w:i w:val="0"/>
          <w:color w:val="111827"/>
          <w:sz w:val="22"/>
        </w:rPr>
        <w:t>Agent-weighted average knowledge: what movers collectively carry into d'. More heavily populated domains contribute more — reflecting that more agents means more accumulated expertise to transfer.</w:t>
      </w:r>
    </w:p>
    <w:p>
      <w:pPr>
        <w:pStyle w:val="ListBullet"/>
        <w:spacing w:after="40"/>
        <w:ind w:left="432"/>
      </w:pPr>
      <w:r>
        <w:rPr>
          <w:rFonts w:ascii="Calibri" w:hAnsi="Calibri"/>
          <w:b/>
          <w:i w:val="0"/>
          <w:color w:val="111827"/>
          <w:sz w:val="22"/>
        </w:rPr>
        <w:t xml:space="preserve">Second term: γ · Σ_{i&lt;j} w_i·X_i·w_j·X_j: </w:t>
      </w:r>
      <w:r>
        <w:rPr>
          <w:rFonts w:ascii="Calibri" w:hAnsi="Calibri"/>
          <w:b w:val="0"/>
          <w:i w:val="0"/>
          <w:color w:val="111827"/>
          <w:sz w:val="22"/>
        </w:rPr>
        <w:t>Pairwise synergy (Weitzman recombination): each pair of domains (i, j) contributes a bonus proportional to both their knowledge levels. Combining economics and psychology produced behavioural economics — the insight emerged from the combination, not from either field alone. With k equal-knowledge domains of level X, total synergy = k(k−1)/2 · γ · X². As the cascade lengthens, synergies compound superlinearly.</w:t>
      </w:r>
    </w:p>
    <w:p>
      <w:pPr>
        <w:spacing w:after="120" w:before="0"/>
      </w:pPr>
      <w:r>
        <w:rPr>
          <w:rFonts w:ascii="Calibri" w:hAnsi="Calibri"/>
          <w:b w:val="0"/>
          <w:i w:val="0"/>
          <w:color w:val="111827"/>
          <w:sz w:val="22"/>
        </w:rPr>
        <w:t>Setting γ = 0 recovers purely additive recombination: the new domain benefits from predecessor knowledge but traditions don't interact. Setting δ = 0 recovers the closed economy: no inheritance, no spawn effect, ΣX_d = X_{d₀,t}.</w:t>
      </w:r>
    </w:p>
    <w:p>
      <w:pPr>
        <w:spacing w:after="160" w:before="0"/>
      </w:pPr>
      <w:r>
        <w:rPr>
          <w:rFonts w:ascii="Calibri" w:hAnsi="Calibri"/>
          <w:b w:val="0"/>
          <w:i w:val="0"/>
          <w:color w:val="111827"/>
          <w:sz w:val="22"/>
        </w:rPr>
        <w:t>The δ &lt; 1 constraint means X_{d',0} is always below the weighted average of predecessor knowledge. Knowledge does not amplify for free at spawn — there is a real friction. The cascade sustains ΣX_d only when the continuous stream of spawns accumulates faster than decay removes knowledge from existing domains.</w:t>
      </w:r>
    </w:p>
    <w:p>
      <w:pPr>
        <w:spacing w:before="240" w:after="80"/>
      </w:pPr>
      <w:r>
        <w:rPr>
          <w:rFonts w:ascii="Calibri" w:hAnsi="Calibri"/>
          <w:b/>
          <w:i w:val="0"/>
          <w:color w:val="1E40AF"/>
          <w:sz w:val="28"/>
        </w:rPr>
        <w:t>2.6  Credit-Equilibrium Agent Allocation</w:t>
      </w:r>
    </w:p>
    <w:p>
      <w:pPr>
        <w:spacing w:after="40" w:before="0"/>
      </w:pPr>
      <w:r>
        <w:rPr>
          <w:rFonts w:ascii="Calibri" w:hAnsi="Calibri"/>
          <w:b w:val="0"/>
          <w:i w:val="0"/>
          <w:color w:val="111827"/>
          <w:sz w:val="22"/>
        </w:rPr>
        <w:t>After each spawn (and at each period), agents reallocate across all active domains. The allocation is derived from the credit equilibrium: agents move until per-agent expected credit is equalised across all domains.</w:t>
      </w:r>
    </w:p>
    <w:p>
      <w:pPr>
        <w:spacing w:after="40" w:before="0"/>
      </w:pPr>
      <w:r>
        <w:rPr>
          <w:rFonts w:ascii="Calibri" w:hAnsi="Calibri"/>
          <w:b w:val="0"/>
          <w:i w:val="0"/>
          <w:color w:val="111827"/>
          <w:sz w:val="22"/>
        </w:rPr>
        <w:t>Credit equilibrium condition:</w:t>
      </w:r>
    </w:p>
    <w:p>
      <w:pPr>
        <w:spacing w:after="120"/>
        <w:ind w:left="720"/>
      </w:pPr>
      <w:r>
        <w:rPr>
          <w:rFonts w:ascii="Calibri" w:hAnsi="Calibri"/>
          <w:b/>
          <w:i w:val="0"/>
          <w:color w:val="1E40AF"/>
          <w:sz w:val="22"/>
        </w:rPr>
        <w:t>G(X_{d₁}) / N_{d₁}  =  G(X_{d₂}) / N_{d₂}  =  …  =  G(X_{d'}) / N_{d'}  =  common value</w:t>
      </w:r>
    </w:p>
    <w:p>
      <w:pPr>
        <w:spacing w:after="40" w:before="0"/>
      </w:pPr>
      <w:r>
        <w:rPr>
          <w:rFonts w:ascii="Calibri" w:hAnsi="Calibri"/>
          <w:b w:val="0"/>
          <w:i w:val="0"/>
          <w:color w:val="111827"/>
          <w:sz w:val="22"/>
        </w:rPr>
        <w:t>Solving for N_d given fixed total N:</w:t>
      </w:r>
    </w:p>
    <w:p>
      <w:pPr>
        <w:spacing w:after="120"/>
        <w:ind w:left="720"/>
      </w:pPr>
      <w:r>
        <w:rPr>
          <w:rFonts w:ascii="Calibri" w:hAnsi="Calibri"/>
          <w:b/>
          <w:i w:val="0"/>
          <w:color w:val="1E40AF"/>
          <w:sz w:val="22"/>
        </w:rPr>
        <w:t>N_d*  =  N · G(X_d) / Σ_j G(X_j)   for all active domains including d'</w:t>
      </w:r>
    </w:p>
    <w:p>
      <w:pPr>
        <w:spacing w:after="160" w:before="0"/>
      </w:pPr>
      <w:r>
        <w:rPr>
          <w:rFonts w:ascii="Calibri" w:hAnsi="Calibri"/>
          <w:b w:val="0"/>
          <w:i w:val="0"/>
          <w:color w:val="111827"/>
          <w:sz w:val="22"/>
        </w:rPr>
        <w:t>This is fully endogenous — derived from the same G(X) credit function that appears in the effort FOC. The allocation does NOT use δ, which governs knowledge transfer only. A domain with twice the knowledge attractiveness (in G(·) units) receives twice the agents.</w:t>
      </w:r>
    </w:p>
    <w:p>
      <w:pPr>
        <w:spacing w:before="240" w:after="80"/>
      </w:pPr>
      <w:r>
        <w:rPr>
          <w:rFonts w:ascii="Calibri" w:hAnsi="Calibri"/>
          <w:b/>
          <w:i w:val="0"/>
          <w:color w:val="1E40AF"/>
          <w:sz w:val="28"/>
        </w:rPr>
        <w:t>2.7  Renewal Signal at Spawn</w:t>
      </w:r>
    </w:p>
    <w:p>
      <w:pPr>
        <w:spacing w:after="80" w:before="0"/>
      </w:pPr>
      <w:r>
        <w:rPr>
          <w:rFonts w:ascii="Calibri" w:hAnsi="Calibri"/>
          <w:b w:val="0"/>
          <w:i w:val="0"/>
          <w:color w:val="111827"/>
          <w:sz w:val="22"/>
        </w:rPr>
        <w:t>When d' is created, it receives a one-time renewal boost from movers. The renewal signal has two components matching the inheritance formula:</w:t>
      </w:r>
    </w:p>
    <w:p>
      <w:pPr>
        <w:pStyle w:val="ListBullet"/>
        <w:spacing w:after="40"/>
        <w:ind w:left="432"/>
      </w:pPr>
      <w:r>
        <w:rPr>
          <w:rFonts w:ascii="Calibri" w:hAnsi="Calibri"/>
          <w:b/>
          <w:i w:val="0"/>
          <w:color w:val="111827"/>
          <w:sz w:val="22"/>
        </w:rPr>
        <w:t xml:space="preserve">Move channel: </w:t>
      </w:r>
      <w:r>
        <w:rPr>
          <w:rFonts w:ascii="Calibri" w:hAnsi="Calibri"/>
          <w:b w:val="0"/>
          <w:i w:val="0"/>
          <w:color w:val="111827"/>
          <w:sz w:val="22"/>
        </w:rPr>
        <w:t>renewal_move  =  λ_G · N_{d'} · Σ_d [G(X_d) / Σ_old_G · e_d ]  — movers from each domain d carry effort e_d, weighted by domain attractiveness G(X_d)/Σ_old_G. This is a one-time public signal: the expertise movers have accumulated applied in the new context.</w:t>
      </w:r>
    </w:p>
    <w:p>
      <w:pPr>
        <w:pStyle w:val="ListBullet"/>
        <w:spacing w:after="40"/>
        <w:ind w:left="432"/>
      </w:pPr>
      <w:r>
        <w:rPr>
          <w:rFonts w:ascii="Calibri" w:hAnsi="Calibri"/>
          <w:b/>
          <w:i w:val="0"/>
          <w:color w:val="111827"/>
          <w:sz w:val="22"/>
        </w:rPr>
        <w:t xml:space="preserve">Interact channel (γ, spawn-time only): </w:t>
      </w:r>
      <w:r>
        <w:rPr>
          <w:rFonts w:ascii="Calibri" w:hAnsi="Calibri"/>
          <w:b w:val="0"/>
          <w:i w:val="0"/>
          <w:color w:val="111827"/>
          <w:sz w:val="22"/>
        </w:rPr>
        <w:t>renewal_interact  =  γ · Σ_{i&lt;j} X_i · X_j  — the Weitzman pairwise synergy: combining the knowledge of any two existing domains produces a bonus proportional to both their levels. This fires ONLY at spawn — not as an ongoing per-period term. γ governs recombination at the moment of creation, not continuous cross-pollination.</w:t>
      </w:r>
    </w:p>
    <w:p>
      <w:pPr>
        <w:spacing w:after="160" w:before="0"/>
      </w:pPr>
      <w:r>
        <w:rPr>
          <w:rFonts w:ascii="Calibri" w:hAnsi="Calibri"/>
          <w:b w:val="0"/>
          <w:i w:val="0"/>
          <w:color w:val="111827"/>
          <w:sz w:val="22"/>
        </w:rPr>
        <w:t>The spawn-time-only restriction on γ is a deliberate design choice. Making γ an ongoing spillover would create a permanent cross-domain public good — a different and more complex mechanism. Restricting γ to spawn time keeps the model parsimonious: recombination happens at the moment fields combine, not continuously thereafter.</w:t>
      </w:r>
    </w:p>
    <w:p>
      <w:pPr>
        <w:spacing w:before="240" w:after="80"/>
      </w:pPr>
      <w:r>
        <w:rPr>
          <w:rFonts w:ascii="Calibri" w:hAnsi="Calibri"/>
          <w:b/>
          <w:i w:val="0"/>
          <w:color w:val="1E40AF"/>
          <w:sz w:val="28"/>
        </w:rPr>
        <w:t>2.8  Five Predictions — Formal Statements</w:t>
      </w: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1E40AF"/>
          </w:tcPr>
          <w:p>
            <w:r/>
            <w:r>
              <w:rPr>
                <w:rFonts w:ascii="Calibri" w:hAnsi="Calibri"/>
                <w:b/>
                <w:i w:val="0"/>
                <w:color w:val="FFFFFF"/>
                <w:sz w:val="20"/>
              </w:rPr>
              <w:t>Prediction</w:t>
            </w:r>
          </w:p>
        </w:tc>
        <w:tc>
          <w:tcPr>
            <w:tcW w:type="dxa" w:w="2592"/>
            <w:shd w:val="clear" w:color="auto" w:fill="1E40AF"/>
          </w:tcPr>
          <w:p>
            <w:r/>
            <w:r>
              <w:rPr>
                <w:rFonts w:ascii="Calibri" w:hAnsi="Calibri"/>
                <w:b/>
                <w:i w:val="0"/>
                <w:color w:val="FFFFFF"/>
                <w:sz w:val="20"/>
              </w:rPr>
              <w:t>Formal statement</w:t>
            </w:r>
          </w:p>
        </w:tc>
        <w:tc>
          <w:tcPr>
            <w:tcW w:type="dxa" w:w="3168"/>
            <w:shd w:val="clear" w:color="auto" w:fill="1E40AF"/>
          </w:tcPr>
          <w:p>
            <w:r/>
            <w:r>
              <w:rPr>
                <w:rFonts w:ascii="Calibri" w:hAnsi="Calibri"/>
                <w:b/>
                <w:i w:val="0"/>
                <w:color w:val="FFFFFF"/>
                <w:sz w:val="20"/>
              </w:rPr>
              <w:t>Economic interpretation</w:t>
            </w:r>
          </w:p>
        </w:tc>
        <w:tc>
          <w:tcPr>
            <w:tcW w:type="dxa" w:w="2592"/>
            <w:shd w:val="clear" w:color="auto" w:fill="1E40AF"/>
          </w:tcPr>
          <w:p>
            <w:r/>
            <w:r>
              <w:rPr>
                <w:rFonts w:ascii="Calibri" w:hAnsi="Calibri"/>
                <w:b/>
                <w:i w:val="0"/>
                <w:color w:val="FFFFFF"/>
                <w:sz w:val="20"/>
              </w:rPr>
              <w:t>Test</w:t>
            </w:r>
          </w:p>
        </w:tc>
      </w:tr>
      <w:tr>
        <w:tc>
          <w:tcPr>
            <w:tcW w:type="dxa" w:w="1728"/>
            <w:shd w:val="clear" w:color="auto" w:fill="EFF6FF"/>
          </w:tcPr>
          <w:p>
            <w:r/>
            <w:r>
              <w:rPr>
                <w:rFonts w:ascii="Calibri" w:hAnsi="Calibri"/>
                <w:b w:val="0"/>
                <w:i w:val="0"/>
                <w:color w:val="111827"/>
                <w:sz w:val="20"/>
              </w:rPr>
              <w:t>P1 — Threshold δ*</w:t>
            </w:r>
          </w:p>
        </w:tc>
        <w:tc>
          <w:tcPr>
            <w:tcW w:type="dxa" w:w="2592"/>
            <w:shd w:val="clear" w:color="auto" w:fill="EFF6FF"/>
          </w:tcPr>
          <w:p>
            <w:r/>
            <w:r>
              <w:rPr>
                <w:rFonts w:ascii="Calibri" w:hAnsi="Calibri"/>
                <w:b w:val="0"/>
                <w:i w:val="0"/>
                <w:color w:val="111827"/>
                <w:sz w:val="20"/>
              </w:rPr>
              <w:t>∃ δ* ∈ (0,1) such that ΣX_d(T)→∞ if δ&gt;δ*, ΣX_d(T)→0 if δ&lt;δ*</w:t>
            </w:r>
          </w:p>
        </w:tc>
        <w:tc>
          <w:tcPr>
            <w:tcW w:type="dxa" w:w="3168"/>
            <w:shd w:val="clear" w:color="auto" w:fill="EFF6FF"/>
          </w:tcPr>
          <w:p>
            <w:r/>
            <w:r>
              <w:rPr>
                <w:rFonts w:ascii="Calibri" w:hAnsi="Calibri"/>
                <w:b w:val="0"/>
                <w:i w:val="0"/>
                <w:color w:val="111827"/>
                <w:sz w:val="20"/>
              </w:rPr>
              <w:t>Recombination reverses collapse iff transferability is high enough. At δ*, inheritance exactly offsets decay at each spawn.</w:t>
            </w:r>
          </w:p>
        </w:tc>
        <w:tc>
          <w:tcPr>
            <w:tcW w:type="dxa" w:w="2592"/>
            <w:shd w:val="clear" w:color="auto" w:fill="EFF6FF"/>
          </w:tcPr>
          <w:p>
            <w:r/>
            <w:r>
              <w:rPr>
                <w:rFonts w:ascii="Calibri" w:hAnsi="Calibri"/>
                <w:b w:val="0"/>
                <w:i w:val="0"/>
                <w:color w:val="111827"/>
                <w:sz w:val="20"/>
              </w:rPr>
              <w:t>Tab 4: ΣX_d(T) vs δ sweep — clear crossing at δ*</w:t>
            </w:r>
          </w:p>
        </w:tc>
      </w:tr>
      <w:tr>
        <w:tc>
          <w:tcPr>
            <w:tcW w:type="dxa" w:w="1728"/>
            <w:shd w:val="clear" w:color="auto" w:fill="FFFFFF"/>
          </w:tcPr>
          <w:p>
            <w:r/>
            <w:r>
              <w:rPr>
                <w:rFonts w:ascii="Calibri" w:hAnsi="Calibri"/>
                <w:b w:val="0"/>
                <w:i w:val="0"/>
                <w:color w:val="111827"/>
                <w:sz w:val="20"/>
              </w:rPr>
              <w:t>P2 — Monotone trend</w:t>
            </w:r>
          </w:p>
        </w:tc>
        <w:tc>
          <w:tcPr>
            <w:tcW w:type="dxa" w:w="2592"/>
            <w:shd w:val="clear" w:color="auto" w:fill="FFFFFF"/>
          </w:tcPr>
          <w:p>
            <w:r/>
            <w:r>
              <w:rPr>
                <w:rFonts w:ascii="Calibri" w:hAnsi="Calibri"/>
                <w:b w:val="0"/>
                <w:i w:val="0"/>
                <w:color w:val="111827"/>
                <w:sz w:val="20"/>
              </w:rPr>
              <w:t>ΣX_d(t) is monotonically increasing or decreasing once cascade begins; almost never hovering near a steady state</w:t>
            </w:r>
          </w:p>
        </w:tc>
        <w:tc>
          <w:tcPr>
            <w:tcW w:type="dxa" w:w="3168"/>
            <w:shd w:val="clear" w:color="auto" w:fill="FFFFFF"/>
          </w:tcPr>
          <w:p>
            <w:r/>
            <w:r>
              <w:rPr>
                <w:rFonts w:ascii="Calibri" w:hAnsi="Calibri"/>
                <w:b w:val="0"/>
                <w:i w:val="0"/>
                <w:color w:val="111827"/>
                <w:sz w:val="20"/>
              </w:rPr>
              <w:t>One force dominates: either each spawn adds enough to outpace decay, or it doesn't. No partial equilibrium.</w:t>
            </w:r>
          </w:p>
        </w:tc>
        <w:tc>
          <w:tcPr>
            <w:tcW w:type="dxa" w:w="2592"/>
            <w:shd w:val="clear" w:color="auto" w:fill="FFFFFF"/>
          </w:tcPr>
          <w:p>
            <w:r/>
            <w:r>
              <w:rPr>
                <w:rFonts w:ascii="Calibri" w:hAnsi="Calibri"/>
                <w:b w:val="0"/>
                <w:i w:val="0"/>
                <w:color w:val="111827"/>
                <w:sz w:val="20"/>
              </w:rPr>
              <w:t>Tab 5: trajectories at δ &lt; δ* (falling) vs δ &gt; δ* (rising)</w:t>
            </w:r>
          </w:p>
        </w:tc>
      </w:tr>
      <w:tr>
        <w:tc>
          <w:tcPr>
            <w:tcW w:type="dxa" w:w="1728"/>
            <w:shd w:val="clear" w:color="auto" w:fill="EFF6FF"/>
          </w:tcPr>
          <w:p>
            <w:r/>
            <w:r>
              <w:rPr>
                <w:rFonts w:ascii="Calibri" w:hAnsi="Calibri"/>
                <w:b w:val="0"/>
                <w:i w:val="0"/>
                <w:color w:val="111827"/>
                <w:sz w:val="20"/>
              </w:rPr>
              <w:t>P3 — Open beats closed</w:t>
            </w:r>
          </w:p>
        </w:tc>
        <w:tc>
          <w:tcPr>
            <w:tcW w:type="dxa" w:w="2592"/>
            <w:shd w:val="clear" w:color="auto" w:fill="EFF6FF"/>
          </w:tcPr>
          <w:p>
            <w:r/>
            <w:r>
              <w:rPr>
                <w:rFonts w:ascii="Calibri" w:hAnsi="Calibri"/>
                <w:b w:val="0"/>
                <w:i w:val="0"/>
                <w:color w:val="111827"/>
                <w:sz w:val="20"/>
              </w:rPr>
              <w:t>ΣX_d_open(T) &gt; ΣX_d_closed(T) for all δ &gt; 0, τ_A &gt; 0</w:t>
            </w:r>
          </w:p>
        </w:tc>
        <w:tc>
          <w:tcPr>
            <w:tcW w:type="dxa" w:w="3168"/>
            <w:shd w:val="clear" w:color="auto" w:fill="EFF6FF"/>
          </w:tcPr>
          <w:p>
            <w:r/>
            <w:r>
              <w:rPr>
                <w:rFonts w:ascii="Calibri" w:hAnsi="Calibri"/>
                <w:b w:val="0"/>
                <w:i w:val="0"/>
                <w:color w:val="111827"/>
                <w:sz w:val="20"/>
              </w:rPr>
              <w:t>Recombination is always weakly beneficial. Even tiny δ provides some inheritance the closed economy never receives.</w:t>
            </w:r>
          </w:p>
        </w:tc>
        <w:tc>
          <w:tcPr>
            <w:tcW w:type="dxa" w:w="2592"/>
            <w:shd w:val="clear" w:color="auto" w:fill="EFF6FF"/>
          </w:tcPr>
          <w:p>
            <w:r/>
            <w:r>
              <w:rPr>
                <w:rFonts w:ascii="Calibri" w:hAnsi="Calibri"/>
                <w:b w:val="0"/>
                <w:i w:val="0"/>
                <w:color w:val="111827"/>
                <w:sz w:val="20"/>
              </w:rPr>
              <w:t>Tab 3: green (open) always above dark (closed)</w:t>
            </w:r>
          </w:p>
        </w:tc>
      </w:tr>
      <w:tr>
        <w:tc>
          <w:tcPr>
            <w:tcW w:type="dxa" w:w="1728"/>
            <w:shd w:val="clear" w:color="auto" w:fill="FFFFFF"/>
          </w:tcPr>
          <w:p>
            <w:r/>
            <w:r>
              <w:rPr>
                <w:rFonts w:ascii="Calibri" w:hAnsi="Calibri"/>
                <w:b w:val="0"/>
                <w:i w:val="0"/>
                <w:color w:val="111827"/>
                <w:sz w:val="20"/>
              </w:rPr>
              <w:t>P4 — AI as complement</w:t>
            </w:r>
          </w:p>
        </w:tc>
        <w:tc>
          <w:tcPr>
            <w:tcW w:type="dxa" w:w="2592"/>
            <w:shd w:val="clear" w:color="auto" w:fill="FFFFFF"/>
          </w:tcPr>
          <w:p>
            <w:r/>
            <w:r>
              <w:rPr>
                <w:rFonts w:ascii="Calibri" w:hAnsi="Calibri"/>
                <w:b w:val="0"/>
                <w:i w:val="0"/>
                <w:color w:val="111827"/>
                <w:sz w:val="20"/>
              </w:rPr>
              <w:t>ΣX_d_open(T, τ_A) &gt; ΣX_d_open(T, 0) for all τ_A &gt; τ_A^c; ΣX_d is hump-shaped in τ_A</w:t>
            </w:r>
          </w:p>
        </w:tc>
        <w:tc>
          <w:tcPr>
            <w:tcW w:type="dxa" w:w="3168"/>
            <w:shd w:val="clear" w:color="auto" w:fill="FFFFFF"/>
          </w:tcPr>
          <w:p>
            <w:r/>
            <w:r>
              <w:rPr>
                <w:rFonts w:ascii="Calibri" w:hAnsi="Calibri"/>
                <w:b w:val="0"/>
                <w:i w:val="0"/>
                <w:color w:val="111827"/>
                <w:sz w:val="20"/>
              </w:rPr>
              <w:t>AI activates the cascade. Without collapse there is no spawn, so the open economy needs AI's pressure. At very high τ_A the hump peaks and declines (domains collapse too fast).</w:t>
            </w:r>
          </w:p>
        </w:tc>
        <w:tc>
          <w:tcPr>
            <w:tcW w:type="dxa" w:w="2592"/>
            <w:shd w:val="clear" w:color="auto" w:fill="FFFFFF"/>
          </w:tcPr>
          <w:p>
            <w:r/>
            <w:r>
              <w:rPr>
                <w:rFonts w:ascii="Calibri" w:hAnsi="Calibri"/>
                <w:b w:val="0"/>
                <w:i w:val="0"/>
                <w:color w:val="111827"/>
                <w:sz w:val="20"/>
              </w:rPr>
              <w:t>Tab 3: τ_A sweep — open-economy curve above no-AI level for τ_A &gt; τ_A^c</w:t>
            </w:r>
          </w:p>
        </w:tc>
      </w:tr>
      <w:tr>
        <w:tc>
          <w:tcPr>
            <w:tcW w:type="dxa" w:w="1728"/>
            <w:shd w:val="clear" w:color="auto" w:fill="EFF6FF"/>
          </w:tcPr>
          <w:p>
            <w:r/>
            <w:r>
              <w:rPr>
                <w:rFonts w:ascii="Calibri" w:hAnsi="Calibri"/>
                <w:b w:val="0"/>
                <w:i w:val="0"/>
                <w:color w:val="111827"/>
                <w:sz w:val="20"/>
              </w:rPr>
              <w:t>P5 — Full reversal</w:t>
            </w:r>
          </w:p>
        </w:tc>
        <w:tc>
          <w:tcPr>
            <w:tcW w:type="dxa" w:w="2592"/>
            <w:shd w:val="clear" w:color="auto" w:fill="EFF6FF"/>
          </w:tcPr>
          <w:p>
            <w:r/>
            <w:r>
              <w:rPr>
                <w:rFonts w:ascii="Calibri" w:hAnsi="Calibri"/>
                <w:b w:val="0"/>
                <w:i w:val="0"/>
                <w:color w:val="111827"/>
                <w:sz w:val="20"/>
              </w:rPr>
              <w:t>ΣX_d(T) &gt; X_h0 iff δ &gt; δ*</w:t>
            </w:r>
          </w:p>
        </w:tc>
        <w:tc>
          <w:tcPr>
            <w:tcW w:type="dxa" w:w="3168"/>
            <w:shd w:val="clear" w:color="auto" w:fill="EFF6FF"/>
          </w:tcPr>
          <w:p>
            <w:r/>
            <w:r>
              <w:rPr>
                <w:rFonts w:ascii="Calibri" w:hAnsi="Calibri"/>
                <w:b w:val="0"/>
                <w:i w:val="0"/>
                <w:color w:val="111827"/>
                <w:sz w:val="20"/>
              </w:rPr>
              <w:t>ΣX_d exceeds the pre-AI benchmark only when recombination dominates. Below δ*, cascade adds knowledge but decay still wins. Above δ*, Acemoglu's result is fully reversed.</w:t>
            </w:r>
          </w:p>
        </w:tc>
        <w:tc>
          <w:tcPr>
            <w:tcW w:type="dxa" w:w="2592"/>
            <w:shd w:val="clear" w:color="auto" w:fill="EFF6FF"/>
          </w:tcPr>
          <w:p>
            <w:r/>
            <w:r>
              <w:rPr>
                <w:rFonts w:ascii="Calibri" w:hAnsi="Calibri"/>
                <w:b w:val="0"/>
                <w:i w:val="0"/>
                <w:color w:val="111827"/>
                <w:sz w:val="20"/>
              </w:rPr>
              <w:t>Tab 4: X_h0 threshold line — ΣX_d(T) crosses above it at δ*</w:t>
            </w:r>
          </w:p>
        </w:tc>
      </w:tr>
    </w:tbl>
    <w:p/>
    <w:p>
      <w:pPr>
        <w:spacing w:before="240" w:after="80"/>
      </w:pPr>
      <w:r>
        <w:rPr>
          <w:rFonts w:ascii="Calibri" w:hAnsi="Calibri"/>
          <w:b/>
          <w:i w:val="0"/>
          <w:color w:val="1E40AF"/>
          <w:sz w:val="28"/>
        </w:rPr>
        <w:t>2.9  Design Decisions and Fixes</w:t>
      </w:r>
    </w:p>
    <w:p>
      <w:pPr>
        <w:spacing w:after="80" w:before="0"/>
      </w:pPr>
      <w:r>
        <w:rPr>
          <w:rFonts w:ascii="Calibri" w:hAnsi="Calibri"/>
          <w:b w:val="0"/>
          <w:i w:val="0"/>
          <w:color w:val="111827"/>
          <w:sz w:val="22"/>
        </w:rPr>
        <w:t>Several non-trivial design choices were made and errors corrected during development:</w:t>
      </w:r>
    </w:p>
    <w:p>
      <w:pPr>
        <w:pStyle w:val="ListBullet"/>
        <w:spacing w:after="40"/>
        <w:ind w:left="432"/>
      </w:pPr>
      <w:r>
        <w:rPr>
          <w:rFonts w:ascii="Calibri" w:hAnsi="Calibri"/>
          <w:b/>
          <w:i w:val="0"/>
          <w:color w:val="111827"/>
          <w:sz w:val="22"/>
        </w:rPr>
        <w:t xml:space="preserve">Wrong spawn trigger (critical): </w:t>
      </w:r>
      <w:r>
        <w:rPr>
          <w:rFonts w:ascii="Calibri" w:hAnsi="Calibri"/>
          <w:b w:val="0"/>
          <w:i w:val="0"/>
          <w:color w:val="111827"/>
          <w:sz w:val="22"/>
        </w:rPr>
        <w:t>Early implementations fired spawning when any single domain fell below a fixed fraction of its initial value. This is exogenous: the threshold is set by the modeller, not derived from any incentive. Two problems: (1) no economic foundation for the fraction; (2) children born below the threshold spawned immediately, creating all domains at t=0. Fix: use ΣX_d/k &lt; δ·X_h0, derived from the credit-equilibrium break-even condition.</w:t>
      </w:r>
    </w:p>
    <w:p>
      <w:pPr>
        <w:pStyle w:val="ListBullet"/>
        <w:spacing w:after="40"/>
        <w:ind w:left="432"/>
      </w:pPr>
      <w:r>
        <w:rPr>
          <w:rFonts w:ascii="Calibri" w:hAnsi="Calibri"/>
          <w:b/>
          <w:i w:val="0"/>
          <w:color w:val="111827"/>
          <w:sz w:val="22"/>
        </w:rPr>
        <w:t xml:space="preserve">γ doing ongoing spillover (critical): </w:t>
      </w:r>
      <w:r>
        <w:rPr>
          <w:rFonts w:ascii="Calibri" w:hAnsi="Calibri"/>
          <w:b w:val="0"/>
          <w:i w:val="0"/>
          <w:color w:val="111827"/>
          <w:sz w:val="22"/>
        </w:rPr>
        <w:t>γ was initially implemented as an ongoing per-period cross-domain spillover term. This is incorrect: γ is the Weitzman recombination complementarity, which operates at the moment of combination (spawn), not as a continuous flow. Fix: γ enters only in the renewal signal at spawn; removed from the per-period update step.</w:t>
      </w:r>
    </w:p>
    <w:p>
      <w:pPr>
        <w:pStyle w:val="ListBullet"/>
        <w:spacing w:after="40"/>
        <w:ind w:left="432"/>
      </w:pPr>
      <w:r>
        <w:rPr>
          <w:rFonts w:ascii="Calibri" w:hAnsi="Calibri"/>
          <w:b/>
          <w:i w:val="0"/>
          <w:color w:val="111827"/>
          <w:sz w:val="22"/>
        </w:rPr>
        <w:t xml:space="preserve">δ conflated with migration fraction (important): </w:t>
      </w:r>
      <w:r>
        <w:rPr>
          <w:rFonts w:ascii="Calibri" w:hAnsi="Calibri"/>
          <w:b w:val="0"/>
          <w:i w:val="0"/>
          <w:color w:val="111827"/>
          <w:sz w:val="22"/>
        </w:rPr>
        <w:t>An early version used δ to also govern the fraction of agents who migrate to the new domain. This conflates two distinct parameters: δ is knowledge transferability, not agent mobility. Fix: agent allocation determined entirely by credit equilibrium N_d* ∝ G(X_d).</w:t>
      </w:r>
    </w:p>
    <w:p>
      <w:pPr>
        <w:pStyle w:val="ListBullet"/>
        <w:spacing w:after="40"/>
        <w:ind w:left="432"/>
      </w:pPr>
      <w:r>
        <w:rPr>
          <w:rFonts w:ascii="Calibri" w:hAnsi="Calibri"/>
          <w:b/>
          <w:i w:val="0"/>
          <w:color w:val="111827"/>
          <w:sz w:val="22"/>
        </w:rPr>
        <w:t xml:space="preserve">Figure 1 explosion (cosmetic): </w:t>
      </w:r>
      <w:r>
        <w:rPr>
          <w:rFonts w:ascii="Calibri" w:hAnsi="Calibri"/>
          <w:b w:val="0"/>
          <w:i w:val="0"/>
          <w:color w:val="111827"/>
          <w:sz w:val="22"/>
        </w:rPr>
        <w:t>With unlimited spawning and T=200, hundreds of domain lines were plotted in Figure 1, making the chart unreadable. Fix: cap display at MAX_PLOT=8 individual domain lines; aggregate remaining domains as a single grey '+N other domains' band. Simulation is unaffected — display only.</w:t>
      </w:r>
    </w:p>
    <w:p>
      <w:pPr>
        <w:pStyle w:val="ListBullet"/>
        <w:spacing w:after="40"/>
        <w:ind w:left="432"/>
      </w:pPr>
      <w:r>
        <w:rPr>
          <w:rFonts w:ascii="Calibri" w:hAnsi="Calibri"/>
          <w:b/>
          <w:i w:val="0"/>
          <w:color w:val="111827"/>
          <w:sz w:val="22"/>
        </w:rPr>
        <w:t xml:space="preserve">P4 validation logic (important): </w:t>
      </w:r>
      <w:r>
        <w:rPr>
          <w:rFonts w:ascii="Calibri" w:hAnsi="Calibri"/>
          <w:b w:val="0"/>
          <w:i w:val="0"/>
          <w:color w:val="111827"/>
          <w:sz w:val="22"/>
        </w:rPr>
        <w:t>P4 was initially validated by checking whether the τ_A sweep had positive slope (monotone increase). The correct claim is not monotone — ΣX_d is hump-shaped. Fix: P4 holds iff ΣX_d(τ_A) ≥ no-AI baseline for all τ_A &gt; τ_A^c.</w:t>
      </w:r>
    </w:p>
    <w:p/>
    <w:p>
      <w:pPr>
        <w:spacing w:before="240" w:after="80"/>
      </w:pPr>
      <w:r>
        <w:rPr>
          <w:rFonts w:ascii="Calibri" w:hAnsi="Calibri"/>
          <w:b/>
          <w:i w:val="0"/>
          <w:color w:val="1E40AF"/>
          <w:sz w:val="28"/>
        </w:rPr>
        <w:t>2.10  Interactive Application</w:t>
      </w:r>
    </w:p>
    <w:p>
      <w:pPr>
        <w:spacing w:after="80" w:before="0"/>
      </w:pPr>
      <w:r>
        <w:rPr>
          <w:rFonts w:ascii="Calibri" w:hAnsi="Calibri"/>
          <w:b w:val="0"/>
          <w:i w:val="0"/>
          <w:color w:val="111827"/>
          <w:sz w:val="22"/>
        </w:rPr>
        <w:t>Built in Python with Streamlit. Runs at localhost:8501 (combined) or standalone. All heavy computations cached with @st.cache_data. Sweep simulations use T_sw = min(T, 60) — sufficient to establish cascade direction.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E40AF"/>
          </w:tcPr>
          <w:p>
            <w:r/>
            <w:r>
              <w:rPr>
                <w:rFonts w:ascii="Calibri" w:hAnsi="Calibri"/>
                <w:b/>
                <w:i w:val="0"/>
                <w:color w:val="FFFFFF"/>
                <w:sz w:val="20"/>
              </w:rPr>
              <w:t>Tab</w:t>
            </w:r>
          </w:p>
        </w:tc>
        <w:tc>
          <w:tcPr>
            <w:tcW w:type="dxa" w:w="4032"/>
            <w:shd w:val="clear" w:color="auto" w:fill="1E40AF"/>
          </w:tcPr>
          <w:p>
            <w:r/>
            <w:r>
              <w:rPr>
                <w:rFonts w:ascii="Calibri" w:hAnsi="Calibri"/>
                <w:b/>
                <w:i w:val="0"/>
                <w:color w:val="FFFFFF"/>
                <w:sz w:val="20"/>
              </w:rPr>
              <w:t>Content</w:t>
            </w:r>
          </w:p>
        </w:tc>
        <w:tc>
          <w:tcPr>
            <w:tcW w:type="dxa" w:w="3888"/>
            <w:shd w:val="clear" w:color="auto" w:fill="1E40AF"/>
          </w:tcPr>
          <w:p>
            <w:r/>
            <w:r>
              <w:rPr>
                <w:rFonts w:ascii="Calibri" w:hAnsi="Calibri"/>
                <w:b/>
                <w:i w:val="0"/>
                <w:color w:val="FFFFFF"/>
                <w:sz w:val="20"/>
              </w:rPr>
              <w:t>Key feature</w:t>
            </w:r>
          </w:p>
        </w:tc>
      </w:tr>
      <w:tr>
        <w:tc>
          <w:tcPr>
            <w:tcW w:type="dxa" w:w="2160"/>
            <w:shd w:val="clear" w:color="auto" w:fill="EFF6FF"/>
          </w:tcPr>
          <w:p>
            <w:r/>
            <w:r>
              <w:rPr>
                <w:rFonts w:ascii="Calibri" w:hAnsi="Calibri"/>
                <w:b w:val="0"/>
                <w:i w:val="0"/>
                <w:color w:val="111827"/>
                <w:sz w:val="20"/>
              </w:rPr>
              <w:t>🌐 Domain Dynamics</w:t>
            </w:r>
          </w:p>
        </w:tc>
        <w:tc>
          <w:tcPr>
            <w:tcW w:type="dxa" w:w="4032"/>
            <w:shd w:val="clear" w:color="auto" w:fill="EFF6FF"/>
          </w:tcPr>
          <w:p>
            <w:r/>
            <w:r>
              <w:rPr>
                <w:rFonts w:ascii="Calibri" w:hAnsi="Calibri"/>
                <w:b w:val="0"/>
                <w:i w:val="0"/>
                <w:color w:val="111827"/>
                <w:sz w:val="20"/>
              </w:rPr>
              <w:t>Per-domain X_d(t) time paths + ΣX_d (general knowledge). Domains shown individually up to 8; excess aggregated.</w:t>
            </w:r>
          </w:p>
        </w:tc>
        <w:tc>
          <w:tcPr>
            <w:tcW w:type="dxa" w:w="3888"/>
            <w:shd w:val="clear" w:color="auto" w:fill="EFF6FF"/>
          </w:tcPr>
          <w:p>
            <w:r/>
            <w:r>
              <w:rPr>
                <w:rFonts w:ascii="Calibri" w:hAnsi="Calibri"/>
                <w:b w:val="0"/>
                <w:i w:val="0"/>
                <w:color w:val="111827"/>
                <w:sz w:val="20"/>
              </w:rPr>
              <w:t>Shows cascade progression; colour = generation order; grey band = aggregated later domains</w:t>
            </w:r>
          </w:p>
        </w:tc>
      </w:tr>
      <w:tr>
        <w:tc>
          <w:tcPr>
            <w:tcW w:type="dxa" w:w="2160"/>
            <w:shd w:val="clear" w:color="auto" w:fill="FFFFFF"/>
          </w:tcPr>
          <w:p>
            <w:r/>
            <w:r>
              <w:rPr>
                <w:rFonts w:ascii="Calibri" w:hAnsi="Calibri"/>
                <w:b w:val="0"/>
                <w:i w:val="0"/>
                <w:color w:val="111827"/>
                <w:sz w:val="20"/>
              </w:rPr>
              <w:t>📊 Four-Way Comparison</w:t>
            </w:r>
          </w:p>
        </w:tc>
        <w:tc>
          <w:tcPr>
            <w:tcW w:type="dxa" w:w="4032"/>
            <w:shd w:val="clear" w:color="auto" w:fill="FFFFFF"/>
          </w:tcPr>
          <w:p>
            <w:r/>
            <w:r>
              <w:rPr>
                <w:rFonts w:ascii="Calibri" w:hAnsi="Calibri"/>
                <w:b w:val="0"/>
                <w:i w:val="0"/>
                <w:color w:val="111827"/>
                <w:sz w:val="20"/>
              </w:rPr>
              <w:t>Closed / Open / No-AI / Pre-AI (X_h0) on one chart</w:t>
            </w:r>
          </w:p>
        </w:tc>
        <w:tc>
          <w:tcPr>
            <w:tcW w:type="dxa" w:w="3888"/>
            <w:shd w:val="clear" w:color="auto" w:fill="FFFFFF"/>
          </w:tcPr>
          <w:p>
            <w:r/>
            <w:r>
              <w:rPr>
                <w:rFonts w:ascii="Calibri" w:hAnsi="Calibri"/>
                <w:b w:val="0"/>
                <w:i w:val="0"/>
                <w:color w:val="111827"/>
                <w:sz w:val="20"/>
              </w:rPr>
              <w:t>Direct visual of P3, P4, P5 at current parameters; ratio metrics shown numerically</w:t>
            </w:r>
          </w:p>
        </w:tc>
      </w:tr>
      <w:tr>
        <w:tc>
          <w:tcPr>
            <w:tcW w:type="dxa" w:w="2160"/>
            <w:shd w:val="clear" w:color="auto" w:fill="EFF6FF"/>
          </w:tcPr>
          <w:p>
            <w:r/>
            <w:r>
              <w:rPr>
                <w:rFonts w:ascii="Calibri" w:hAnsi="Calibri"/>
                <w:b w:val="0"/>
                <w:i w:val="0"/>
                <w:color w:val="111827"/>
                <w:sz w:val="20"/>
              </w:rPr>
              <w:t>🔬 P3+P4 — Role of AI</w:t>
            </w:r>
          </w:p>
        </w:tc>
        <w:tc>
          <w:tcPr>
            <w:tcW w:type="dxa" w:w="4032"/>
            <w:shd w:val="clear" w:color="auto" w:fill="EFF6FF"/>
          </w:tcPr>
          <w:p>
            <w:r/>
            <w:r>
              <w:rPr>
                <w:rFonts w:ascii="Calibri" w:hAnsi="Calibri"/>
                <w:b w:val="0"/>
                <w:i w:val="0"/>
                <w:color w:val="111827"/>
                <w:sz w:val="20"/>
              </w:rPr>
              <w:t>Left: time paths (open vs closed vs no-AI). Right: τ_A sweep showing ΣX_d(T) vs τ_A for open and no-AI.</w:t>
            </w:r>
          </w:p>
        </w:tc>
        <w:tc>
          <w:tcPr>
            <w:tcW w:type="dxa" w:w="3888"/>
            <w:shd w:val="clear" w:color="auto" w:fill="EFF6FF"/>
          </w:tcPr>
          <w:p>
            <w:r/>
            <w:r>
              <w:rPr>
                <w:rFonts w:ascii="Calibri" w:hAnsi="Calibri"/>
                <w:b w:val="0"/>
                <w:i w:val="0"/>
                <w:color w:val="111827"/>
                <w:sz w:val="20"/>
              </w:rPr>
              <w:t>P3 confirmed by left panel; P4 confirmed by right panel sweep; hump shape visible at high τ_A</w:t>
            </w:r>
          </w:p>
        </w:tc>
      </w:tr>
      <w:tr>
        <w:tc>
          <w:tcPr>
            <w:tcW w:type="dxa" w:w="2160"/>
            <w:shd w:val="clear" w:color="auto" w:fill="FFFFFF"/>
          </w:tcPr>
          <w:p>
            <w:r/>
            <w:r>
              <w:rPr>
                <w:rFonts w:ascii="Calibri" w:hAnsi="Calibri"/>
                <w:b w:val="0"/>
                <w:i w:val="0"/>
                <w:color w:val="111827"/>
                <w:sz w:val="20"/>
              </w:rPr>
              <w:t>📏 P1+P5 — Recomb threshold</w:t>
            </w:r>
          </w:p>
        </w:tc>
        <w:tc>
          <w:tcPr>
            <w:tcW w:type="dxa" w:w="4032"/>
            <w:shd w:val="clear" w:color="auto" w:fill="FFFFFF"/>
          </w:tcPr>
          <w:p>
            <w:r/>
            <w:r>
              <w:rPr>
                <w:rFonts w:ascii="Calibri" w:hAnsi="Calibri"/>
                <w:b w:val="0"/>
                <w:i w:val="0"/>
                <w:color w:val="111827"/>
                <w:sz w:val="20"/>
              </w:rPr>
              <w:t>δ sweep: ΣX_d(T) vs δ with X_h0 threshold line.</w:t>
            </w:r>
          </w:p>
        </w:tc>
        <w:tc>
          <w:tcPr>
            <w:tcW w:type="dxa" w:w="3888"/>
            <w:shd w:val="clear" w:color="auto" w:fill="FFFFFF"/>
          </w:tcPr>
          <w:p>
            <w:r/>
            <w:r>
              <w:rPr>
                <w:rFonts w:ascii="Calibri" w:hAnsi="Calibri"/>
                <w:b w:val="0"/>
                <w:i w:val="0"/>
                <w:color w:val="111827"/>
                <w:sz w:val="20"/>
              </w:rPr>
              <w:t>δ* visible as crossing point; P5 confirmed where ΣX_d(T) crosses X_h0</w:t>
            </w:r>
          </w:p>
        </w:tc>
      </w:tr>
      <w:tr>
        <w:tc>
          <w:tcPr>
            <w:tcW w:type="dxa" w:w="2160"/>
            <w:shd w:val="clear" w:color="auto" w:fill="EFF6FF"/>
          </w:tcPr>
          <w:p>
            <w:r/>
            <w:r>
              <w:rPr>
                <w:rFonts w:ascii="Calibri" w:hAnsi="Calibri"/>
                <w:b w:val="0"/>
                <w:i w:val="0"/>
                <w:color w:val="111827"/>
                <w:sz w:val="20"/>
              </w:rPr>
              <w:t>📈 P2 — Knowledge trends</w:t>
            </w:r>
          </w:p>
        </w:tc>
        <w:tc>
          <w:tcPr>
            <w:tcW w:type="dxa" w:w="4032"/>
            <w:shd w:val="clear" w:color="auto" w:fill="EFF6FF"/>
          </w:tcPr>
          <w:p>
            <w:r/>
            <w:r>
              <w:rPr>
                <w:rFonts w:ascii="Calibri" w:hAnsi="Calibri"/>
                <w:b w:val="0"/>
                <w:i w:val="0"/>
                <w:color w:val="111827"/>
                <w:sz w:val="20"/>
              </w:rPr>
              <w:t>Three trajectories at δ below, at, and above δ*.</w:t>
            </w:r>
          </w:p>
        </w:tc>
        <w:tc>
          <w:tcPr>
            <w:tcW w:type="dxa" w:w="3888"/>
            <w:shd w:val="clear" w:color="auto" w:fill="EFF6FF"/>
          </w:tcPr>
          <w:p>
            <w:r/>
            <w:r>
              <w:rPr>
                <w:rFonts w:ascii="Calibri" w:hAnsi="Calibri"/>
                <w:b w:val="0"/>
                <w:i w:val="0"/>
                <w:color w:val="111827"/>
                <w:sz w:val="20"/>
              </w:rPr>
              <w:t>Monotone decline vs flat vs monotone growth shows sharp transition at δ*</w:t>
            </w:r>
          </w:p>
        </w:tc>
      </w:tr>
      <w:tr>
        <w:tc>
          <w:tcPr>
            <w:tcW w:type="dxa" w:w="2160"/>
            <w:shd w:val="clear" w:color="auto" w:fill="FFFFFF"/>
          </w:tcPr>
          <w:p>
            <w:r/>
            <w:r>
              <w:rPr>
                <w:rFonts w:ascii="Calibri" w:hAnsi="Calibri"/>
                <w:b w:val="0"/>
                <w:i w:val="0"/>
                <w:color w:val="111827"/>
                <w:sz w:val="20"/>
              </w:rPr>
              <w:t>📖 Extension Guide</w:t>
            </w:r>
          </w:p>
        </w:tc>
        <w:tc>
          <w:tcPr>
            <w:tcW w:type="dxa" w:w="4032"/>
            <w:shd w:val="clear" w:color="auto" w:fill="FFFFFF"/>
          </w:tcPr>
          <w:p>
            <w:r/>
            <w:r>
              <w:rPr>
                <w:rFonts w:ascii="Calibri" w:hAnsi="Calibri"/>
                <w:b w:val="0"/>
                <w:i w:val="0"/>
                <w:color w:val="111827"/>
                <w:sz w:val="20"/>
              </w:rPr>
              <w:t>Seven expandable sections with full technical detail, design rationale, and parameter quick-reference.</w:t>
            </w:r>
          </w:p>
        </w:tc>
        <w:tc>
          <w:tcPr>
            <w:tcW w:type="dxa" w:w="3888"/>
            <w:shd w:val="clear" w:color="auto" w:fill="FFFFFF"/>
          </w:tcPr>
          <w:p>
            <w:r/>
            <w:r>
              <w:rPr>
                <w:rFonts w:ascii="Calibri" w:hAnsi="Calibri"/>
                <w:b w:val="0"/>
                <w:i w:val="0"/>
                <w:color w:val="111827"/>
                <w:sz w:val="20"/>
              </w:rPr>
              <w:t>Live values from current simulation embedded in guide text</w:t>
            </w:r>
          </w:p>
        </w:tc>
      </w:tr>
    </w:tbl>
    <w:p/>
    <w:p>
      <w:pPr>
        <w:spacing w:before="240" w:after="80"/>
      </w:pPr>
      <w:r>
        <w:rPr>
          <w:rFonts w:ascii="Calibri" w:hAnsi="Calibri"/>
          <w:b/>
          <w:i w:val="0"/>
          <w:color w:val="1E40AF"/>
          <w:sz w:val="28"/>
        </w:rPr>
        <w:t>2.11  Key Insight from the Simulation</w:t>
      </w:r>
    </w:p>
    <w:p>
      <w:pPr>
        <w:spacing w:after="120" w:before="0"/>
      </w:pPr>
      <w:r>
        <w:rPr>
          <w:rFonts w:ascii="Calibri" w:hAnsi="Calibri"/>
          <w:b w:val="0"/>
          <w:i w:val="0"/>
          <w:color w:val="111827"/>
          <w:sz w:val="22"/>
        </w:rPr>
        <w:t>The strong-reversal configuration (δ=0.85, γ=0.05, τ_A=0.85) demonstrates the central theoretical result: ΣX_d(T)/X_h0 ≈ 11×, versus the closed economy at ≈ 0×. General knowledge grows to more than ten times the pre-AI benchmark, while the closed economy collapses completely. The open/closed ratio at this configuration is approximately 900×.</w:t>
      </w:r>
    </w:p>
    <w:p>
      <w:pPr>
        <w:spacing w:after="160" w:before="0"/>
      </w:pPr>
      <w:r>
        <w:rPr>
          <w:rFonts w:ascii="Calibri" w:hAnsi="Calibri"/>
          <w:b w:val="0"/>
          <w:i/>
          <w:color w:val="111827"/>
          <w:sz w:val="22"/>
        </w:rPr>
        <w:t>This quantitative gap illustrates the qualitative point: recombination is not a marginal correction to knowledge collapse. When transferability is high and synergies exist, it fully reverses Acemoglu's pessimistic result. The mechanism is not that domains somehow resist collapse — they don't; each individual domain still erodes under AI. The mechanism is that the cascade of new domains, each inheriting from a richer pool of predecessors, accumulates knowledge faster than any individual domain loses it.</w:t>
      </w:r>
    </w:p>
    <w:p>
      <w:pPr>
        <w:spacing w:before="120" w:after="120"/>
        <w:pBdr>
          <w:bottom w:val="single" w:sz="4" w:space="1" w:color="BFDBFE"/>
        </w:pBdr>
      </w:pPr>
    </w:p>
    <w:p>
      <w:pPr>
        <w:spacing w:before="240" w:after="80"/>
      </w:pPr>
      <w:r>
        <w:rPr>
          <w:rFonts w:ascii="Calibri" w:hAnsi="Calibri"/>
          <w:b/>
          <w:i w:val="0"/>
          <w:color w:val="1E40AF"/>
          <w:sz w:val="28"/>
        </w:rPr>
        <w:t>2.12  Parameter and Variable Reference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color="auto" w:fill="1E40AF"/>
          </w:tcPr>
          <w:p>
            <w:r/>
            <w:r>
              <w:rPr>
                <w:rFonts w:ascii="Calibri" w:hAnsi="Calibri"/>
                <w:b/>
                <w:i w:val="0"/>
                <w:color w:val="FFFFFF"/>
                <w:sz w:val="20"/>
              </w:rPr>
              <w:t>Symbol</w:t>
            </w:r>
          </w:p>
        </w:tc>
        <w:tc>
          <w:tcPr>
            <w:tcW w:type="dxa" w:w="2448"/>
            <w:shd w:val="clear" w:color="auto" w:fill="1E40AF"/>
          </w:tcPr>
          <w:p>
            <w:r/>
            <w:r>
              <w:rPr>
                <w:rFonts w:ascii="Calibri" w:hAnsi="Calibri"/>
                <w:b/>
                <w:i w:val="0"/>
                <w:color w:val="FFFFFF"/>
                <w:sz w:val="20"/>
              </w:rPr>
              <w:t>Name</w:t>
            </w:r>
          </w:p>
        </w:tc>
        <w:tc>
          <w:tcPr>
            <w:tcW w:type="dxa" w:w="1296"/>
            <w:shd w:val="clear" w:color="auto" w:fill="1E40AF"/>
          </w:tcPr>
          <w:p>
            <w:r/>
            <w:r>
              <w:rPr>
                <w:rFonts w:ascii="Calibri" w:hAnsi="Calibri"/>
                <w:b/>
                <w:i w:val="0"/>
                <w:color w:val="FFFFFF"/>
                <w:sz w:val="20"/>
              </w:rPr>
              <w:t>Type</w:t>
            </w:r>
          </w:p>
        </w:tc>
        <w:tc>
          <w:tcPr>
            <w:tcW w:type="dxa" w:w="864"/>
            <w:shd w:val="clear" w:color="auto" w:fill="1E40AF"/>
          </w:tcPr>
          <w:p>
            <w:r/>
            <w:r>
              <w:rPr>
                <w:rFonts w:ascii="Calibri" w:hAnsi="Calibri"/>
                <w:b/>
                <w:i w:val="0"/>
                <w:color w:val="FFFFFF"/>
                <w:sz w:val="20"/>
              </w:rPr>
              <w:t>Default</w:t>
            </w:r>
          </w:p>
        </w:tc>
        <w:tc>
          <w:tcPr>
            <w:tcW w:type="dxa" w:w="4464"/>
            <w:shd w:val="clear" w:color="auto" w:fill="1E40AF"/>
          </w:tcPr>
          <w:p>
            <w:r/>
            <w:r>
              <w:rPr>
                <w:rFonts w:ascii="Calibri" w:hAnsi="Calibri"/>
                <w:b/>
                <w:i w:val="0"/>
                <w:color w:val="FFFFFF"/>
                <w:sz w:val="20"/>
              </w:rPr>
              <w:t>Key role in extension</w:t>
            </w:r>
          </w:p>
        </w:tc>
      </w:tr>
      <w:tr>
        <w:tc>
          <w:tcPr>
            <w:tcW w:type="dxa" w:w="1008"/>
            <w:shd w:val="clear" w:color="auto" w:fill="EFF6FF"/>
          </w:tcPr>
          <w:p>
            <w:r/>
            <w:r>
              <w:rPr>
                <w:rFonts w:ascii="Calibri" w:hAnsi="Calibri"/>
                <w:b w:val="0"/>
                <w:i w:val="0"/>
                <w:color w:val="111827"/>
                <w:sz w:val="20"/>
              </w:rPr>
              <w:t>α</w:t>
            </w:r>
          </w:p>
        </w:tc>
        <w:tc>
          <w:tcPr>
            <w:tcW w:type="dxa" w:w="2448"/>
            <w:shd w:val="clear" w:color="auto" w:fill="EFF6FF"/>
          </w:tcPr>
          <w:p>
            <w:r/>
            <w:r>
              <w:rPr>
                <w:rFonts w:ascii="Calibri" w:hAnsi="Calibri"/>
                <w:b w:val="0"/>
                <w:i w:val="0"/>
                <w:color w:val="111827"/>
                <w:sz w:val="20"/>
              </w:rPr>
              <w:t>Effort cost steepness</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1.20</w:t>
            </w:r>
          </w:p>
        </w:tc>
        <w:tc>
          <w:tcPr>
            <w:tcW w:type="dxa" w:w="4464"/>
            <w:shd w:val="clear" w:color="auto" w:fill="EFF6FF"/>
          </w:tcPr>
          <w:p>
            <w:r/>
            <w:r>
              <w:rPr>
                <w:rFonts w:ascii="Calibri" w:hAnsi="Calibri"/>
                <w:b w:val="0"/>
                <w:i w:val="0"/>
                <w:color w:val="111827"/>
                <w:sz w:val="20"/>
              </w:rPr>
              <w:t>Unchanged from baseline; determines regime (elastic/inelastic)</w:t>
            </w:r>
          </w:p>
        </w:tc>
      </w:tr>
      <w:tr>
        <w:tc>
          <w:tcPr>
            <w:tcW w:type="dxa" w:w="1008"/>
            <w:shd w:val="clear" w:color="auto" w:fill="FFFFFF"/>
          </w:tcPr>
          <w:p>
            <w:r/>
            <w:r>
              <w:rPr>
                <w:rFonts w:ascii="Calibri" w:hAnsi="Calibri"/>
                <w:b w:val="0"/>
                <w:i w:val="0"/>
                <w:color w:val="111827"/>
                <w:sz w:val="20"/>
              </w:rPr>
              <w:t>N</w:t>
            </w:r>
          </w:p>
        </w:tc>
        <w:tc>
          <w:tcPr>
            <w:tcW w:type="dxa" w:w="2448"/>
            <w:shd w:val="clear" w:color="auto" w:fill="FFFFFF"/>
          </w:tcPr>
          <w:p>
            <w:r/>
            <w:r>
              <w:rPr>
                <w:rFonts w:ascii="Calibri" w:hAnsi="Calibri"/>
                <w:b w:val="0"/>
                <w:i w:val="0"/>
                <w:color w:val="111827"/>
                <w:sz w:val="20"/>
              </w:rPr>
              <w:t>Total community size</w:t>
            </w:r>
          </w:p>
        </w:tc>
        <w:tc>
          <w:tcPr>
            <w:tcW w:type="dxa" w:w="1296"/>
            <w:shd w:val="clear" w:color="auto" w:fill="FFFFFF"/>
          </w:tcPr>
          <w:p>
            <w:r/>
            <w:r>
              <w:rPr>
                <w:rFonts w:ascii="Calibri" w:hAnsi="Calibri"/>
                <w:b w:val="0"/>
                <w:i w:val="0"/>
                <w:color w:val="111827"/>
                <w:sz w:val="20"/>
              </w:rPr>
              <w:t>Parameter</w:t>
            </w:r>
          </w:p>
        </w:tc>
        <w:tc>
          <w:tcPr>
            <w:tcW w:type="dxa" w:w="864"/>
            <w:shd w:val="clear" w:color="auto" w:fill="FFFFFF"/>
          </w:tcPr>
          <w:p>
            <w:r/>
            <w:r>
              <w:rPr>
                <w:rFonts w:ascii="Calibri" w:hAnsi="Calibri"/>
                <w:b w:val="0"/>
                <w:i w:val="0"/>
                <w:color w:val="111827"/>
                <w:sz w:val="20"/>
              </w:rPr>
              <w:t>50</w:t>
            </w:r>
          </w:p>
        </w:tc>
        <w:tc>
          <w:tcPr>
            <w:tcW w:type="dxa" w:w="4464"/>
            <w:shd w:val="clear" w:color="auto" w:fill="FFFFFF"/>
          </w:tcPr>
          <w:p>
            <w:r/>
            <w:r>
              <w:rPr>
                <w:rFonts w:ascii="Calibri" w:hAnsi="Calibri"/>
                <w:b w:val="0"/>
                <w:i w:val="0"/>
                <w:color w:val="111827"/>
                <w:sz w:val="20"/>
              </w:rPr>
              <w:t>Total agents allocated across all domains by credit equilibrium</w:t>
            </w:r>
          </w:p>
        </w:tc>
      </w:tr>
      <w:tr>
        <w:tc>
          <w:tcPr>
            <w:tcW w:type="dxa" w:w="1008"/>
            <w:shd w:val="clear" w:color="auto" w:fill="EFF6FF"/>
          </w:tcPr>
          <w:p>
            <w:r/>
            <w:r>
              <w:rPr>
                <w:rFonts w:ascii="Calibri" w:hAnsi="Calibri"/>
                <w:b w:val="0"/>
                <w:i w:val="0"/>
                <w:color w:val="111827"/>
                <w:sz w:val="20"/>
              </w:rPr>
              <w:t>λ_G</w:t>
            </w:r>
          </w:p>
        </w:tc>
        <w:tc>
          <w:tcPr>
            <w:tcW w:type="dxa" w:w="2448"/>
            <w:shd w:val="clear" w:color="auto" w:fill="EFF6FF"/>
          </w:tcPr>
          <w:p>
            <w:r/>
            <w:r>
              <w:rPr>
                <w:rFonts w:ascii="Calibri" w:hAnsi="Calibri"/>
                <w:b w:val="0"/>
                <w:i w:val="0"/>
                <w:color w:val="111827"/>
                <w:sz w:val="20"/>
              </w:rPr>
              <w:t>Public learning efficiency</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1.0</w:t>
            </w:r>
          </w:p>
        </w:tc>
        <w:tc>
          <w:tcPr>
            <w:tcW w:type="dxa" w:w="4464"/>
            <w:shd w:val="clear" w:color="auto" w:fill="EFF6FF"/>
          </w:tcPr>
          <w:p>
            <w:r/>
            <w:r>
              <w:rPr>
                <w:rFonts w:ascii="Calibri" w:hAnsi="Calibri"/>
                <w:b w:val="0"/>
                <w:i w:val="0"/>
                <w:color w:val="111827"/>
                <w:sz w:val="20"/>
              </w:rPr>
              <w:t>Determines public signal strength — how fast domain X_d grows</w:t>
            </w:r>
          </w:p>
        </w:tc>
      </w:tr>
      <w:tr>
        <w:tc>
          <w:tcPr>
            <w:tcW w:type="dxa" w:w="1008"/>
            <w:shd w:val="clear" w:color="auto" w:fill="FFFFFF"/>
          </w:tcPr>
          <w:p>
            <w:r/>
            <w:r>
              <w:rPr>
                <w:rFonts w:ascii="Calibri" w:hAnsi="Calibri"/>
                <w:b w:val="0"/>
                <w:i w:val="0"/>
                <w:color w:val="111827"/>
                <w:sz w:val="20"/>
              </w:rPr>
              <w:t>λ_I</w:t>
            </w:r>
          </w:p>
        </w:tc>
        <w:tc>
          <w:tcPr>
            <w:tcW w:type="dxa" w:w="2448"/>
            <w:shd w:val="clear" w:color="auto" w:fill="FFFFFF"/>
          </w:tcPr>
          <w:p>
            <w:r/>
            <w:r>
              <w:rPr>
                <w:rFonts w:ascii="Calibri" w:hAnsi="Calibri"/>
                <w:b w:val="0"/>
                <w:i w:val="0"/>
                <w:color w:val="111827"/>
                <w:sz w:val="20"/>
              </w:rPr>
              <w:t>Private learning efficiency</w:t>
            </w:r>
          </w:p>
        </w:tc>
        <w:tc>
          <w:tcPr>
            <w:tcW w:type="dxa" w:w="1296"/>
            <w:shd w:val="clear" w:color="auto" w:fill="FFFFFF"/>
          </w:tcPr>
          <w:p>
            <w:r/>
            <w:r>
              <w:rPr>
                <w:rFonts w:ascii="Calibri" w:hAnsi="Calibri"/>
                <w:b w:val="0"/>
                <w:i w:val="0"/>
                <w:color w:val="111827"/>
                <w:sz w:val="20"/>
              </w:rPr>
              <w:t>Parameter</w:t>
            </w:r>
          </w:p>
        </w:tc>
        <w:tc>
          <w:tcPr>
            <w:tcW w:type="dxa" w:w="864"/>
            <w:shd w:val="clear" w:color="auto" w:fill="FFFFFF"/>
          </w:tcPr>
          <w:p>
            <w:r/>
            <w:r>
              <w:rPr>
                <w:rFonts w:ascii="Calibri" w:hAnsi="Calibri"/>
                <w:b w:val="0"/>
                <w:i w:val="0"/>
                <w:color w:val="111827"/>
                <w:sz w:val="20"/>
              </w:rPr>
              <w:t>1.0</w:t>
            </w:r>
          </w:p>
        </w:tc>
        <w:tc>
          <w:tcPr>
            <w:tcW w:type="dxa" w:w="4464"/>
            <w:shd w:val="clear" w:color="auto" w:fill="FFFFFF"/>
          </w:tcPr>
          <w:p>
            <w:r/>
            <w:r>
              <w:rPr>
                <w:rFonts w:ascii="Calibri" w:hAnsi="Calibri"/>
                <w:b w:val="0"/>
                <w:i w:val="0"/>
                <w:color w:val="111827"/>
                <w:sz w:val="20"/>
              </w:rPr>
              <w:t>Private return to effort — affects FOC and equilibrium effort</w:t>
            </w:r>
          </w:p>
        </w:tc>
      </w:tr>
      <w:tr>
        <w:tc>
          <w:tcPr>
            <w:tcW w:type="dxa" w:w="1008"/>
            <w:shd w:val="clear" w:color="auto" w:fill="EFF6FF"/>
          </w:tcPr>
          <w:p>
            <w:r/>
            <w:r>
              <w:rPr>
                <w:rFonts w:ascii="Calibri" w:hAnsi="Calibri"/>
                <w:b w:val="0"/>
                <w:i w:val="0"/>
                <w:color w:val="111827"/>
                <w:sz w:val="20"/>
              </w:rPr>
              <w:t>Σ²</w:t>
            </w:r>
          </w:p>
        </w:tc>
        <w:tc>
          <w:tcPr>
            <w:tcW w:type="dxa" w:w="2448"/>
            <w:shd w:val="clear" w:color="auto" w:fill="EFF6FF"/>
          </w:tcPr>
          <w:p>
            <w:r/>
            <w:r>
              <w:rPr>
                <w:rFonts w:ascii="Calibri" w:hAnsi="Calibri"/>
                <w:b w:val="0"/>
                <w:i w:val="0"/>
                <w:color w:val="111827"/>
                <w:sz w:val="20"/>
              </w:rPr>
              <w:t>Knowledge decay rate</w:t>
            </w:r>
          </w:p>
        </w:tc>
        <w:tc>
          <w:tcPr>
            <w:tcW w:type="dxa" w:w="1296"/>
            <w:shd w:val="clear" w:color="auto" w:fill="EFF6FF"/>
          </w:tcPr>
          <w:p>
            <w:r/>
            <w:r>
              <w:rPr>
                <w:rFonts w:ascii="Calibri" w:hAnsi="Calibri"/>
                <w:b w:val="0"/>
                <w:i w:val="0"/>
                <w:color w:val="111827"/>
                <w:sz w:val="20"/>
              </w:rPr>
              <w:t>Parameter</w:t>
            </w:r>
          </w:p>
        </w:tc>
        <w:tc>
          <w:tcPr>
            <w:tcW w:type="dxa" w:w="864"/>
            <w:shd w:val="clear" w:color="auto" w:fill="EFF6FF"/>
          </w:tcPr>
          <w:p>
            <w:r/>
            <w:r>
              <w:rPr>
                <w:rFonts w:ascii="Calibri" w:hAnsi="Calibri"/>
                <w:b w:val="0"/>
                <w:i w:val="0"/>
                <w:color w:val="111827"/>
                <w:sz w:val="20"/>
              </w:rPr>
              <w:t>0.05</w:t>
            </w:r>
          </w:p>
        </w:tc>
        <w:tc>
          <w:tcPr>
            <w:tcW w:type="dxa" w:w="4464"/>
            <w:shd w:val="clear" w:color="auto" w:fill="EFF6FF"/>
          </w:tcPr>
          <w:p>
            <w:r/>
            <w:r>
              <w:rPr>
                <w:rFonts w:ascii="Calibri" w:hAnsi="Calibri"/>
                <w:b w:val="0"/>
                <w:i w:val="0"/>
                <w:color w:val="111827"/>
                <w:sz w:val="20"/>
              </w:rPr>
              <w:t>Per-period drift — same for all domains; drives the need for spawning</w:t>
            </w:r>
          </w:p>
        </w:tc>
      </w:tr>
      <w:tr>
        <w:tc>
          <w:tcPr>
            <w:tcW w:type="dxa" w:w="1008"/>
            <w:shd w:val="clear" w:color="auto" w:fill="FFFFFF"/>
          </w:tcPr>
          <w:p>
            <w:r/>
            <w:r>
              <w:rPr>
                <w:rFonts w:ascii="Calibri" w:hAnsi="Calibri"/>
                <w:b w:val="0"/>
                <w:i w:val="0"/>
                <w:color w:val="111827"/>
                <w:sz w:val="20"/>
              </w:rPr>
              <w:t>σ⁻²</w:t>
            </w:r>
          </w:p>
        </w:tc>
        <w:tc>
          <w:tcPr>
            <w:tcW w:type="dxa" w:w="2448"/>
            <w:shd w:val="clear" w:color="auto" w:fill="FFFFFF"/>
          </w:tcPr>
          <w:p>
            <w:r/>
            <w:r>
              <w:rPr>
                <w:rFonts w:ascii="Calibri" w:hAnsi="Calibri"/>
                <w:b w:val="0"/>
                <w:i w:val="0"/>
                <w:color w:val="111827"/>
                <w:sz w:val="20"/>
              </w:rPr>
              <w:t>Task prior precision</w:t>
            </w:r>
          </w:p>
        </w:tc>
        <w:tc>
          <w:tcPr>
            <w:tcW w:type="dxa" w:w="1296"/>
            <w:shd w:val="clear" w:color="auto" w:fill="FFFFFF"/>
          </w:tcPr>
          <w:p>
            <w:r/>
            <w:r>
              <w:rPr>
                <w:rFonts w:ascii="Calibri" w:hAnsi="Calibri"/>
                <w:b w:val="0"/>
                <w:i w:val="0"/>
                <w:color w:val="111827"/>
                <w:sz w:val="20"/>
              </w:rPr>
              <w:t>Parameter</w:t>
            </w:r>
          </w:p>
        </w:tc>
        <w:tc>
          <w:tcPr>
            <w:tcW w:type="dxa" w:w="864"/>
            <w:shd w:val="clear" w:color="auto" w:fill="FFFFFF"/>
          </w:tcPr>
          <w:p>
            <w:r/>
            <w:r>
              <w:rPr>
                <w:rFonts w:ascii="Calibri" w:hAnsi="Calibri"/>
                <w:b w:val="0"/>
                <w:i w:val="0"/>
                <w:color w:val="111827"/>
                <w:sz w:val="20"/>
              </w:rPr>
              <w:t>0.01</w:t>
            </w:r>
          </w:p>
        </w:tc>
        <w:tc>
          <w:tcPr>
            <w:tcW w:type="dxa" w:w="4464"/>
            <w:shd w:val="clear" w:color="auto" w:fill="FFFFFF"/>
          </w:tcPr>
          <w:p>
            <w:r/>
            <w:r>
              <w:rPr>
                <w:rFonts w:ascii="Calibri" w:hAnsi="Calibri"/>
                <w:b w:val="0"/>
                <w:i w:val="0"/>
                <w:color w:val="111827"/>
                <w:sz w:val="20"/>
              </w:rPr>
              <w:t>Baseline task knowledge without effort</w:t>
            </w:r>
          </w:p>
        </w:tc>
      </w:tr>
      <w:tr>
        <w:tc>
          <w:tcPr>
            <w:tcW w:type="dxa" w:w="1008"/>
            <w:shd w:val="clear" w:color="auto" w:fill="EFF6FF"/>
          </w:tcPr>
          <w:p>
            <w:r/>
            <w:r>
              <w:rPr>
                <w:rFonts w:ascii="Calibri" w:hAnsi="Calibri"/>
                <w:b w:val="0"/>
                <w:i w:val="0"/>
                <w:color w:val="111827"/>
                <w:sz w:val="20"/>
              </w:rPr>
              <w:t>τ_A</w:t>
            </w:r>
          </w:p>
        </w:tc>
        <w:tc>
          <w:tcPr>
            <w:tcW w:type="dxa" w:w="2448"/>
            <w:shd w:val="clear" w:color="auto" w:fill="EFF6FF"/>
          </w:tcPr>
          <w:p>
            <w:r/>
            <w:r>
              <w:rPr>
                <w:rFonts w:ascii="Calibri" w:hAnsi="Calibri"/>
                <w:b w:val="0"/>
                <w:i w:val="0"/>
                <w:color w:val="111827"/>
                <w:sz w:val="20"/>
              </w:rPr>
              <w:t>AI capability</w:t>
            </w:r>
          </w:p>
        </w:tc>
        <w:tc>
          <w:tcPr>
            <w:tcW w:type="dxa" w:w="1296"/>
            <w:shd w:val="clear" w:color="auto" w:fill="EFF6FF"/>
          </w:tcPr>
          <w:p>
            <w:r/>
            <w:r>
              <w:rPr>
                <w:rFonts w:ascii="Calibri" w:hAnsi="Calibri"/>
                <w:b w:val="0"/>
                <w:i w:val="0"/>
                <w:color w:val="111827"/>
                <w:sz w:val="20"/>
              </w:rPr>
              <w:t>Policy var</w:t>
            </w:r>
          </w:p>
        </w:tc>
        <w:tc>
          <w:tcPr>
            <w:tcW w:type="dxa" w:w="864"/>
            <w:shd w:val="clear" w:color="auto" w:fill="EFF6FF"/>
          </w:tcPr>
          <w:p>
            <w:r/>
            <w:r>
              <w:rPr>
                <w:rFonts w:ascii="Calibri" w:hAnsi="Calibri"/>
                <w:b w:val="0"/>
                <w:i w:val="0"/>
                <w:color w:val="111827"/>
                <w:sz w:val="20"/>
              </w:rPr>
              <w:t>1.0</w:t>
            </w:r>
          </w:p>
        </w:tc>
        <w:tc>
          <w:tcPr>
            <w:tcW w:type="dxa" w:w="4464"/>
            <w:shd w:val="clear" w:color="auto" w:fill="EFF6FF"/>
          </w:tcPr>
          <w:p>
            <w:r/>
            <w:r>
              <w:rPr>
                <w:rFonts w:ascii="Calibri" w:hAnsi="Calibri"/>
                <w:b w:val="0"/>
                <w:i w:val="0"/>
                <w:color w:val="111827"/>
                <w:sz w:val="20"/>
              </w:rPr>
              <w:t>Drives domain erosion; activates spawn cascade when τ_A &gt; τ_A^c</w:t>
            </w:r>
          </w:p>
        </w:tc>
      </w:tr>
      <w:tr>
        <w:tc>
          <w:tcPr>
            <w:tcW w:type="dxa" w:w="1008"/>
            <w:shd w:val="clear" w:color="auto" w:fill="FFFFFF"/>
          </w:tcPr>
          <w:p>
            <w:r/>
            <w:r>
              <w:rPr>
                <w:rFonts w:ascii="Calibri" w:hAnsi="Calibri"/>
                <w:b w:val="0"/>
                <w:i w:val="0"/>
                <w:color w:val="111827"/>
                <w:sz w:val="20"/>
              </w:rPr>
              <w:t>δ</w:t>
            </w:r>
          </w:p>
        </w:tc>
        <w:tc>
          <w:tcPr>
            <w:tcW w:type="dxa" w:w="2448"/>
            <w:shd w:val="clear" w:color="auto" w:fill="FFFFFF"/>
          </w:tcPr>
          <w:p>
            <w:r/>
            <w:r>
              <w:rPr>
                <w:rFonts w:ascii="Calibri" w:hAnsi="Calibri"/>
                <w:b w:val="0"/>
                <w:i w:val="0"/>
                <w:color w:val="111827"/>
                <w:sz w:val="20"/>
              </w:rPr>
              <w:t>Knowledge transferability</w:t>
            </w:r>
          </w:p>
        </w:tc>
        <w:tc>
          <w:tcPr>
            <w:tcW w:type="dxa" w:w="1296"/>
            <w:shd w:val="clear" w:color="auto" w:fill="FFFFFF"/>
          </w:tcPr>
          <w:p>
            <w:r/>
            <w:r>
              <w:rPr>
                <w:rFonts w:ascii="Calibri" w:hAnsi="Calibri"/>
                <w:b w:val="0"/>
                <w:i w:val="0"/>
                <w:color w:val="111827"/>
                <w:sz w:val="20"/>
              </w:rPr>
              <w:t>Extension</w:t>
            </w:r>
          </w:p>
        </w:tc>
        <w:tc>
          <w:tcPr>
            <w:tcW w:type="dxa" w:w="864"/>
            <w:shd w:val="clear" w:color="auto" w:fill="FFFFFF"/>
          </w:tcPr>
          <w:p>
            <w:r/>
            <w:r>
              <w:rPr>
                <w:rFonts w:ascii="Calibri" w:hAnsi="Calibri"/>
                <w:b w:val="0"/>
                <w:i w:val="0"/>
                <w:color w:val="111827"/>
                <w:sz w:val="20"/>
              </w:rPr>
              <w:t>0.5</w:t>
            </w:r>
          </w:p>
        </w:tc>
        <w:tc>
          <w:tcPr>
            <w:tcW w:type="dxa" w:w="4464"/>
            <w:shd w:val="clear" w:color="auto" w:fill="FFFFFF"/>
          </w:tcPr>
          <w:p>
            <w:r/>
            <w:r>
              <w:rPr>
                <w:rFonts w:ascii="Calibri" w:hAnsi="Calibri"/>
                <w:b w:val="0"/>
                <w:i w:val="0"/>
                <w:color w:val="111827"/>
                <w:sz w:val="20"/>
              </w:rPr>
              <w:t>Inheritance rate AND spawn break-even threshold — same parameter, dual role</w:t>
            </w:r>
          </w:p>
        </w:tc>
      </w:tr>
      <w:tr>
        <w:tc>
          <w:tcPr>
            <w:tcW w:type="dxa" w:w="1008"/>
            <w:shd w:val="clear" w:color="auto" w:fill="EFF6FF"/>
          </w:tcPr>
          <w:p>
            <w:r/>
            <w:r>
              <w:rPr>
                <w:rFonts w:ascii="Calibri" w:hAnsi="Calibri"/>
                <w:b w:val="0"/>
                <w:i w:val="0"/>
                <w:color w:val="111827"/>
                <w:sz w:val="20"/>
              </w:rPr>
              <w:t>γ</w:t>
            </w:r>
          </w:p>
        </w:tc>
        <w:tc>
          <w:tcPr>
            <w:tcW w:type="dxa" w:w="2448"/>
            <w:shd w:val="clear" w:color="auto" w:fill="EFF6FF"/>
          </w:tcPr>
          <w:p>
            <w:r/>
            <w:r>
              <w:rPr>
                <w:rFonts w:ascii="Calibri" w:hAnsi="Calibri"/>
                <w:b w:val="0"/>
                <w:i w:val="0"/>
                <w:color w:val="111827"/>
                <w:sz w:val="20"/>
              </w:rPr>
              <w:t>Cross-domain complementarity</w:t>
            </w:r>
          </w:p>
        </w:tc>
        <w:tc>
          <w:tcPr>
            <w:tcW w:type="dxa" w:w="1296"/>
            <w:shd w:val="clear" w:color="auto" w:fill="EFF6FF"/>
          </w:tcPr>
          <w:p>
            <w:r/>
            <w:r>
              <w:rPr>
                <w:rFonts w:ascii="Calibri" w:hAnsi="Calibri"/>
                <w:b w:val="0"/>
                <w:i w:val="0"/>
                <w:color w:val="111827"/>
                <w:sz w:val="20"/>
              </w:rPr>
              <w:t>Extension</w:t>
            </w:r>
          </w:p>
        </w:tc>
        <w:tc>
          <w:tcPr>
            <w:tcW w:type="dxa" w:w="864"/>
            <w:shd w:val="clear" w:color="auto" w:fill="EFF6FF"/>
          </w:tcPr>
          <w:p>
            <w:r/>
            <w:r>
              <w:rPr>
                <w:rFonts w:ascii="Calibri" w:hAnsi="Calibri"/>
                <w:b w:val="0"/>
                <w:i w:val="0"/>
                <w:color w:val="111827"/>
                <w:sz w:val="20"/>
              </w:rPr>
              <w:t>0.0</w:t>
            </w:r>
          </w:p>
        </w:tc>
        <w:tc>
          <w:tcPr>
            <w:tcW w:type="dxa" w:w="4464"/>
            <w:shd w:val="clear" w:color="auto" w:fill="EFF6FF"/>
          </w:tcPr>
          <w:p>
            <w:r/>
            <w:r>
              <w:rPr>
                <w:rFonts w:ascii="Calibri" w:hAnsi="Calibri"/>
                <w:b w:val="0"/>
                <w:i w:val="0"/>
                <w:color w:val="111827"/>
                <w:sz w:val="20"/>
              </w:rPr>
              <w:t>Weitzman pairwise synergy — fires at spawn only, not per-period</w:t>
            </w:r>
          </w:p>
        </w:tc>
      </w:tr>
      <w:tr>
        <w:tc>
          <w:tcPr>
            <w:tcW w:type="dxa" w:w="1008"/>
            <w:shd w:val="clear" w:color="auto" w:fill="FFFFFF"/>
          </w:tcPr>
          <w:p>
            <w:r/>
            <w:r>
              <w:rPr>
                <w:rFonts w:ascii="Calibri" w:hAnsi="Calibri"/>
                <w:b w:val="0"/>
                <w:i w:val="0"/>
                <w:color w:val="111827"/>
                <w:sz w:val="20"/>
              </w:rPr>
              <w:t>X_{d,t}</w:t>
            </w:r>
          </w:p>
        </w:tc>
        <w:tc>
          <w:tcPr>
            <w:tcW w:type="dxa" w:w="2448"/>
            <w:shd w:val="clear" w:color="auto" w:fill="FFFFFF"/>
          </w:tcPr>
          <w:p>
            <w:r/>
            <w:r>
              <w:rPr>
                <w:rFonts w:ascii="Calibri" w:hAnsi="Calibri"/>
                <w:b w:val="0"/>
                <w:i w:val="0"/>
                <w:color w:val="111827"/>
                <w:sz w:val="20"/>
              </w:rPr>
              <w:t>Domain knowledge precision</w:t>
            </w:r>
          </w:p>
        </w:tc>
        <w:tc>
          <w:tcPr>
            <w:tcW w:type="dxa" w:w="1296"/>
            <w:shd w:val="clear" w:color="auto" w:fill="FFFFFF"/>
          </w:tcPr>
          <w:p>
            <w:r/>
            <w:r>
              <w:rPr>
                <w:rFonts w:ascii="Calibri" w:hAnsi="Calibri"/>
                <w:b w:val="0"/>
                <w:i w:val="0"/>
                <w:color w:val="111827"/>
                <w:sz w:val="20"/>
              </w:rPr>
              <w:t>State var</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Evolves via law of motion; erodes under AI; spawns new domain when ΣX_d/k &lt; δ·X_h0</w:t>
            </w:r>
          </w:p>
        </w:tc>
      </w:tr>
      <w:tr>
        <w:tc>
          <w:tcPr>
            <w:tcW w:type="dxa" w:w="1008"/>
            <w:shd w:val="clear" w:color="auto" w:fill="EFF6FF"/>
          </w:tcPr>
          <w:p>
            <w:r/>
            <w:r>
              <w:rPr>
                <w:rFonts w:ascii="Calibri" w:hAnsi="Calibri"/>
                <w:b w:val="0"/>
                <w:i w:val="0"/>
                <w:color w:val="111827"/>
                <w:sz w:val="20"/>
              </w:rPr>
              <w:t>ΣX_d</w:t>
            </w:r>
          </w:p>
        </w:tc>
        <w:tc>
          <w:tcPr>
            <w:tcW w:type="dxa" w:w="2448"/>
            <w:shd w:val="clear" w:color="auto" w:fill="EFF6FF"/>
          </w:tcPr>
          <w:p>
            <w:r/>
            <w:r>
              <w:rPr>
                <w:rFonts w:ascii="Calibri" w:hAnsi="Calibri"/>
                <w:b w:val="0"/>
                <w:i w:val="0"/>
                <w:color w:val="111827"/>
                <w:sz w:val="20"/>
              </w:rPr>
              <w:t>General knowledge</w:t>
            </w:r>
          </w:p>
        </w:tc>
        <w:tc>
          <w:tcPr>
            <w:tcW w:type="dxa" w:w="1296"/>
            <w:shd w:val="clear" w:color="auto" w:fill="EFF6FF"/>
          </w:tcPr>
          <w:p>
            <w:r/>
            <w:r>
              <w:rPr>
                <w:rFonts w:ascii="Calibri" w:hAnsi="Calibri"/>
                <w:b w:val="0"/>
                <w:i w:val="0"/>
                <w:color w:val="111827"/>
                <w:sz w:val="20"/>
              </w:rPr>
              <w:t>State var</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Bayesian sum; primary welfare metric; target of P1–P5</w:t>
            </w:r>
          </w:p>
        </w:tc>
      </w:tr>
      <w:tr>
        <w:tc>
          <w:tcPr>
            <w:tcW w:type="dxa" w:w="1008"/>
            <w:shd w:val="clear" w:color="auto" w:fill="FFFFFF"/>
          </w:tcPr>
          <w:p>
            <w:r/>
            <w:r>
              <w:rPr>
                <w:rFonts w:ascii="Calibri" w:hAnsi="Calibri"/>
                <w:b w:val="0"/>
                <w:i w:val="0"/>
                <w:color w:val="111827"/>
                <w:sz w:val="20"/>
              </w:rPr>
              <w:t>X_h0</w:t>
            </w:r>
          </w:p>
        </w:tc>
        <w:tc>
          <w:tcPr>
            <w:tcW w:type="dxa" w:w="2448"/>
            <w:shd w:val="clear" w:color="auto" w:fill="FFFFFF"/>
          </w:tcPr>
          <w:p>
            <w:r/>
            <w:r>
              <w:rPr>
                <w:rFonts w:ascii="Calibri" w:hAnsi="Calibri"/>
                <w:b w:val="0"/>
                <w:i w:val="0"/>
                <w:color w:val="111827"/>
                <w:sz w:val="20"/>
              </w:rPr>
              <w:t>Pre-AI benchmark</w:t>
            </w:r>
          </w:p>
        </w:tc>
        <w:tc>
          <w:tcPr>
            <w:tcW w:type="dxa" w:w="1296"/>
            <w:shd w:val="clear" w:color="auto" w:fill="FFFFFF"/>
          </w:tcPr>
          <w:p>
            <w:r/>
            <w:r>
              <w:rPr>
                <w:rFonts w:ascii="Calibri" w:hAnsi="Calibri"/>
                <w:b w:val="0"/>
                <w:i w:val="0"/>
                <w:color w:val="111827"/>
                <w:sz w:val="20"/>
              </w:rPr>
              <w:t>Reference</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High-knowledge steady state at τ_A=0; spawn trigger and P5 reference</w:t>
            </w:r>
          </w:p>
        </w:tc>
      </w:tr>
      <w:tr>
        <w:tc>
          <w:tcPr>
            <w:tcW w:type="dxa" w:w="1008"/>
            <w:shd w:val="clear" w:color="auto" w:fill="EFF6FF"/>
          </w:tcPr>
          <w:p>
            <w:r/>
            <w:r>
              <w:rPr>
                <w:rFonts w:ascii="Calibri" w:hAnsi="Calibri"/>
                <w:b w:val="0"/>
                <w:i w:val="0"/>
                <w:color w:val="111827"/>
                <w:sz w:val="20"/>
              </w:rPr>
              <w:t>w_d</w:t>
            </w:r>
          </w:p>
        </w:tc>
        <w:tc>
          <w:tcPr>
            <w:tcW w:type="dxa" w:w="2448"/>
            <w:shd w:val="clear" w:color="auto" w:fill="EFF6FF"/>
          </w:tcPr>
          <w:p>
            <w:r/>
            <w:r>
              <w:rPr>
                <w:rFonts w:ascii="Calibri" w:hAnsi="Calibri"/>
                <w:b w:val="0"/>
                <w:i w:val="0"/>
                <w:color w:val="111827"/>
                <w:sz w:val="20"/>
              </w:rPr>
              <w:t>Agent share of domain d</w:t>
            </w:r>
          </w:p>
        </w:tc>
        <w:tc>
          <w:tcPr>
            <w:tcW w:type="dxa" w:w="1296"/>
            <w:shd w:val="clear" w:color="auto" w:fill="EFF6FF"/>
          </w:tcPr>
          <w:p>
            <w:r/>
            <w:r>
              <w:rPr>
                <w:rFonts w:ascii="Calibri" w:hAnsi="Calibri"/>
                <w:b w:val="0"/>
                <w:i w:val="0"/>
                <w:color w:val="111827"/>
                <w:sz w:val="20"/>
              </w:rPr>
              <w:t>Endogenous</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w_d = N_d/N; weights in inheritance formula; from credit equilibrium</w:t>
            </w:r>
          </w:p>
        </w:tc>
      </w:tr>
      <w:tr>
        <w:tc>
          <w:tcPr>
            <w:tcW w:type="dxa" w:w="1008"/>
            <w:shd w:val="clear" w:color="auto" w:fill="FFFFFF"/>
          </w:tcPr>
          <w:p>
            <w:r/>
            <w:r>
              <w:rPr>
                <w:rFonts w:ascii="Calibri" w:hAnsi="Calibri"/>
                <w:b w:val="0"/>
                <w:i w:val="0"/>
                <w:color w:val="111827"/>
                <w:sz w:val="20"/>
              </w:rPr>
              <w:t>N_d*</w:t>
            </w:r>
          </w:p>
        </w:tc>
        <w:tc>
          <w:tcPr>
            <w:tcW w:type="dxa" w:w="2448"/>
            <w:shd w:val="clear" w:color="auto" w:fill="FFFFFF"/>
          </w:tcPr>
          <w:p>
            <w:r/>
            <w:r>
              <w:rPr>
                <w:rFonts w:ascii="Calibri" w:hAnsi="Calibri"/>
                <w:b w:val="0"/>
                <w:i w:val="0"/>
                <w:color w:val="111827"/>
                <w:sz w:val="20"/>
              </w:rPr>
              <w:t>Equilibrium agents in domain d</w:t>
            </w:r>
          </w:p>
        </w:tc>
        <w:tc>
          <w:tcPr>
            <w:tcW w:type="dxa" w:w="1296"/>
            <w:shd w:val="clear" w:color="auto" w:fill="FFFFFF"/>
          </w:tcPr>
          <w:p>
            <w:r/>
            <w:r>
              <w:rPr>
                <w:rFonts w:ascii="Calibri" w:hAnsi="Calibri"/>
                <w:b w:val="0"/>
                <w:i w:val="0"/>
                <w:color w:val="111827"/>
                <w:sz w:val="20"/>
              </w:rPr>
              <w:t>Endogenous</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N · G(X_d) / Σ G(X_j); re-computed after each spawn</w:t>
            </w:r>
          </w:p>
        </w:tc>
      </w:tr>
      <w:tr>
        <w:tc>
          <w:tcPr>
            <w:tcW w:type="dxa" w:w="1008"/>
            <w:shd w:val="clear" w:color="auto" w:fill="EFF6FF"/>
          </w:tcPr>
          <w:p>
            <w:r/>
            <w:r>
              <w:rPr>
                <w:rFonts w:ascii="Calibri" w:hAnsi="Calibri"/>
                <w:b w:val="0"/>
                <w:i w:val="0"/>
                <w:color w:val="111827"/>
                <w:sz w:val="20"/>
              </w:rPr>
              <w:t>G(τ)</w:t>
            </w:r>
          </w:p>
        </w:tc>
        <w:tc>
          <w:tcPr>
            <w:tcW w:type="dxa" w:w="2448"/>
            <w:shd w:val="clear" w:color="auto" w:fill="EFF6FF"/>
          </w:tcPr>
          <w:p>
            <w:r/>
            <w:r>
              <w:rPr>
                <w:rFonts w:ascii="Calibri" w:hAnsi="Calibri"/>
                <w:b w:val="0"/>
                <w:i w:val="0"/>
                <w:color w:val="111827"/>
                <w:sz w:val="20"/>
              </w:rPr>
              <w:t>Knowledge quality / credit</w:t>
            </w:r>
          </w:p>
        </w:tc>
        <w:tc>
          <w:tcPr>
            <w:tcW w:type="dxa" w:w="1296"/>
            <w:shd w:val="clear" w:color="auto" w:fill="EFF6FF"/>
          </w:tcPr>
          <w:p>
            <w:r/>
            <w:r>
              <w:rPr>
                <w:rFonts w:ascii="Calibri" w:hAnsi="Calibri"/>
                <w:b w:val="0"/>
                <w:i w:val="0"/>
                <w:color w:val="111827"/>
                <w:sz w:val="20"/>
              </w:rPr>
              <w:t>Function</w:t>
            </w:r>
          </w:p>
        </w:tc>
        <w:tc>
          <w:tcPr>
            <w:tcW w:type="dxa" w:w="864"/>
            <w:shd w:val="clear" w:color="auto" w:fill="EFF6FF"/>
          </w:tcPr>
          <w:p>
            <w:r/>
            <w:r>
              <w:rPr>
                <w:rFonts w:ascii="Calibri" w:hAnsi="Calibri"/>
                <w:b w:val="0"/>
                <w:i w:val="0"/>
                <w:color w:val="111827"/>
                <w:sz w:val="20"/>
              </w:rPr>
              <w:t>—</w:t>
            </w:r>
          </w:p>
        </w:tc>
        <w:tc>
          <w:tcPr>
            <w:tcW w:type="dxa" w:w="4464"/>
            <w:shd w:val="clear" w:color="auto" w:fill="EFF6FF"/>
          </w:tcPr>
          <w:p>
            <w:r/>
            <w:r>
              <w:rPr>
                <w:rFonts w:ascii="Calibri" w:hAnsi="Calibri"/>
                <w:b w:val="0"/>
                <w:i w:val="0"/>
                <w:color w:val="111827"/>
                <w:sz w:val="20"/>
              </w:rPr>
              <w:t>2Φ(√τ)−1; bounds [0,1]; drives FOC and allocation — unchanged from baseline</w:t>
            </w:r>
          </w:p>
        </w:tc>
      </w:tr>
      <w:tr>
        <w:tc>
          <w:tcPr>
            <w:tcW w:type="dxa" w:w="1008"/>
            <w:shd w:val="clear" w:color="auto" w:fill="FFFFFF"/>
          </w:tcPr>
          <w:p>
            <w:r/>
            <w:r>
              <w:rPr>
                <w:rFonts w:ascii="Calibri" w:hAnsi="Calibri"/>
                <w:b w:val="0"/>
                <w:i w:val="0"/>
                <w:color w:val="111827"/>
                <w:sz w:val="20"/>
              </w:rPr>
              <w:t>δ*</w:t>
            </w:r>
          </w:p>
        </w:tc>
        <w:tc>
          <w:tcPr>
            <w:tcW w:type="dxa" w:w="2448"/>
            <w:shd w:val="clear" w:color="auto" w:fill="FFFFFF"/>
          </w:tcPr>
          <w:p>
            <w:r/>
            <w:r>
              <w:rPr>
                <w:rFonts w:ascii="Calibri" w:hAnsi="Calibri"/>
                <w:b w:val="0"/>
                <w:i w:val="0"/>
                <w:color w:val="111827"/>
                <w:sz w:val="20"/>
              </w:rPr>
              <w:t>Recombination threshold</w:t>
            </w:r>
          </w:p>
        </w:tc>
        <w:tc>
          <w:tcPr>
            <w:tcW w:type="dxa" w:w="1296"/>
            <w:shd w:val="clear" w:color="auto" w:fill="FFFFFF"/>
          </w:tcPr>
          <w:p>
            <w:r/>
            <w:r>
              <w:rPr>
                <w:rFonts w:ascii="Calibri" w:hAnsi="Calibri"/>
                <w:b w:val="0"/>
                <w:i w:val="0"/>
                <w:color w:val="111827"/>
                <w:sz w:val="20"/>
              </w:rPr>
              <w:t>Threshold</w:t>
            </w:r>
          </w:p>
        </w:tc>
        <w:tc>
          <w:tcPr>
            <w:tcW w:type="dxa" w:w="864"/>
            <w:shd w:val="clear" w:color="auto" w:fill="FFFFFF"/>
          </w:tcPr>
          <w:p>
            <w:r/>
            <w:r>
              <w:rPr>
                <w:rFonts w:ascii="Calibri" w:hAnsi="Calibri"/>
                <w:b w:val="0"/>
                <w:i w:val="0"/>
                <w:color w:val="111827"/>
                <w:sz w:val="20"/>
              </w:rPr>
              <w:t>—</w:t>
            </w:r>
          </w:p>
        </w:tc>
        <w:tc>
          <w:tcPr>
            <w:tcW w:type="dxa" w:w="4464"/>
            <w:shd w:val="clear" w:color="auto" w:fill="FFFFFF"/>
          </w:tcPr>
          <w:p>
            <w:r/>
            <w:r>
              <w:rPr>
                <w:rFonts w:ascii="Calibri" w:hAnsi="Calibri"/>
                <w:b w:val="0"/>
                <w:i w:val="0"/>
                <w:color w:val="111827"/>
                <w:sz w:val="20"/>
              </w:rPr>
              <w:t>Critical δ above which ΣX_d grows; characterises P1 and P5</w:t>
            </w:r>
          </w:p>
        </w:tc>
      </w:tr>
      <w:tr>
        <w:tc>
          <w:tcPr>
            <w:tcW w:type="dxa" w:w="1008"/>
            <w:shd w:val="clear" w:color="auto" w:fill="EFF6FF"/>
          </w:tcPr>
          <w:p>
            <w:r/>
            <w:r>
              <w:rPr>
                <w:rFonts w:ascii="Calibri" w:hAnsi="Calibri"/>
                <w:b w:val="0"/>
                <w:i w:val="0"/>
                <w:color w:val="111827"/>
                <w:sz w:val="20"/>
              </w:rPr>
              <w:t>τ_A^c</w:t>
            </w:r>
          </w:p>
        </w:tc>
        <w:tc>
          <w:tcPr>
            <w:tcW w:type="dxa" w:w="2448"/>
            <w:shd w:val="clear" w:color="auto" w:fill="EFF6FF"/>
          </w:tcPr>
          <w:p>
            <w:r/>
            <w:r>
              <w:rPr>
                <w:rFonts w:ascii="Calibri" w:hAnsi="Calibri"/>
                <w:b w:val="0"/>
                <w:i w:val="0"/>
                <w:color w:val="111827"/>
                <w:sz w:val="20"/>
              </w:rPr>
              <w:t>Collapse threshold</w:t>
            </w:r>
          </w:p>
        </w:tc>
        <w:tc>
          <w:tcPr>
            <w:tcW w:type="dxa" w:w="1296"/>
            <w:shd w:val="clear" w:color="auto" w:fill="EFF6FF"/>
          </w:tcPr>
          <w:p>
            <w:r/>
            <w:r>
              <w:rPr>
                <w:rFonts w:ascii="Calibri" w:hAnsi="Calibri"/>
                <w:b w:val="0"/>
                <w:i w:val="0"/>
                <w:color w:val="111827"/>
                <w:sz w:val="20"/>
              </w:rPr>
              <w:t>Threshold</w:t>
            </w:r>
          </w:p>
        </w:tc>
        <w:tc>
          <w:tcPr>
            <w:tcW w:type="dxa" w:w="864"/>
            <w:shd w:val="clear" w:color="auto" w:fill="EFF6FF"/>
          </w:tcPr>
          <w:p>
            <w:r/>
            <w:r>
              <w:rPr>
                <w:rFonts w:ascii="Calibri" w:hAnsi="Calibri"/>
                <w:b w:val="0"/>
                <w:i w:val="0"/>
                <w:color w:val="111827"/>
                <w:sz w:val="20"/>
              </w:rPr>
              <w:t>0.619</w:t>
            </w:r>
          </w:p>
        </w:tc>
        <w:tc>
          <w:tcPr>
            <w:tcW w:type="dxa" w:w="4464"/>
            <w:shd w:val="clear" w:color="auto" w:fill="EFF6FF"/>
          </w:tcPr>
          <w:p>
            <w:r/>
            <w:r>
              <w:rPr>
                <w:rFonts w:ascii="Calibri" w:hAnsi="Calibri"/>
                <w:b w:val="0"/>
                <w:i w:val="0"/>
                <w:color w:val="111827"/>
                <w:sz w:val="20"/>
              </w:rPr>
              <w:t>Above this, baseline domain collapses; spawn cascade activates</w:t>
            </w:r>
          </w:p>
        </w:tc>
      </w:tr>
    </w:tbl>
    <w:p/>
    <w:p/>
    <w:p>
      <w:pPr>
        <w:spacing w:before="120" w:after="120"/>
        <w:pBdr>
          <w:bottom w:val="single" w:sz="4" w:space="1" w:color="BFDBFE"/>
        </w:pBdr>
      </w:pPr>
    </w:p>
    <w:p>
      <w:pPr>
        <w:jc w:val="center"/>
      </w:pPr>
      <w:r>
        <w:rPr>
          <w:rFonts w:ascii="Calibri" w:hAnsi="Calibri"/>
          <w:b w:val="0"/>
          <w:i/>
          <w:color w:val="374151"/>
          <w:sz w:val="18"/>
        </w:rPr>
        <w:t>Knowledge Collapse Extension  ·  Simulation: knowledge_collapse_recomb.py  ·  Extension of Acemoglu, Kong &amp; Ozdaglar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