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DA5A" w14:textId="4CA04E53" w:rsidR="00C623D4" w:rsidRPr="00CE2345" w:rsidRDefault="00C623D4" w:rsidP="005C751E">
      <w:pPr>
        <w:pStyle w:val="Title"/>
        <w:spacing w:line="360" w:lineRule="auto"/>
        <w:rPr>
          <w:smallCaps/>
          <w:bdr w:val="none" w:sz="0" w:space="0" w:color="auto" w:frame="1"/>
        </w:rPr>
      </w:pPr>
      <w:r w:rsidRPr="00C623D4">
        <w:rPr>
          <w:bdr w:val="none" w:sz="0" w:space="0" w:color="auto" w:frame="1"/>
        </w:rPr>
        <w:t>An Analysis of the Distribution of ELA Test Refusal Rates in Public Schools (2023-2024)​</w:t>
      </w:r>
      <w:r w:rsidRPr="00C623D4">
        <w:rPr>
          <w:shd w:val="clear" w:color="auto" w:fill="FFFFFF"/>
        </w:rPr>
        <w:t>​</w:t>
      </w:r>
    </w:p>
    <w:p w14:paraId="51688DD1" w14:textId="2A39551C" w:rsidR="006600D7" w:rsidRDefault="00457BD2" w:rsidP="005C751E">
      <w:pPr>
        <w:pStyle w:val="Heading1"/>
      </w:pPr>
      <w:r>
        <w:t>Introduction</w:t>
      </w:r>
    </w:p>
    <w:p w14:paraId="1C14EF0B" w14:textId="197637F5" w:rsidR="00CA0AC2" w:rsidRDefault="00544551" w:rsidP="005C751E">
      <w:pPr>
        <w:spacing w:line="360" w:lineRule="auto"/>
        <w:ind w:firstLine="0"/>
        <w:rPr>
          <w:rFonts w:ascii="Times New Roman" w:hAnsi="Times New Roman" w:cs="Times New Roman"/>
        </w:rPr>
      </w:pPr>
      <w:r>
        <w:rPr>
          <w:rFonts w:ascii="Times New Roman" w:hAnsi="Times New Roman" w:cs="Times New Roman"/>
        </w:rPr>
        <w:t xml:space="preserve">In this report, we aim to find out the distribution </w:t>
      </w:r>
      <w:r w:rsidR="00172257">
        <w:rPr>
          <w:rFonts w:ascii="Times New Roman" w:hAnsi="Times New Roman" w:cs="Times New Roman"/>
        </w:rPr>
        <w:t xml:space="preserve">of </w:t>
      </w:r>
      <w:r w:rsidR="00A55801">
        <w:rPr>
          <w:rFonts w:ascii="Times New Roman" w:hAnsi="Times New Roman" w:cs="Times New Roman"/>
        </w:rPr>
        <w:t xml:space="preserve">percent students </w:t>
      </w:r>
      <w:r w:rsidR="00172257">
        <w:rPr>
          <w:rFonts w:ascii="Times New Roman" w:hAnsi="Times New Roman" w:cs="Times New Roman"/>
        </w:rPr>
        <w:t xml:space="preserve">that refused to take </w:t>
      </w:r>
      <w:r w:rsidR="00ED3EE7">
        <w:rPr>
          <w:rFonts w:ascii="Times New Roman" w:hAnsi="Times New Roman" w:cs="Times New Roman"/>
        </w:rPr>
        <w:t>Grade 3-8 ELA tests</w:t>
      </w:r>
      <w:r w:rsidR="00F57F1C">
        <w:rPr>
          <w:rFonts w:ascii="Times New Roman" w:hAnsi="Times New Roman" w:cs="Times New Roman"/>
        </w:rPr>
        <w:t xml:space="preserve"> </w:t>
      </w:r>
      <w:r w:rsidR="00A55801">
        <w:rPr>
          <w:rFonts w:ascii="Times New Roman" w:hAnsi="Times New Roman" w:cs="Times New Roman"/>
        </w:rPr>
        <w:t xml:space="preserve">in public schools </w:t>
      </w:r>
      <w:r w:rsidR="00F57F1C">
        <w:rPr>
          <w:rFonts w:ascii="Times New Roman" w:hAnsi="Times New Roman" w:cs="Times New Roman"/>
        </w:rPr>
        <w:t>during school year 2023-2024</w:t>
      </w:r>
      <w:r w:rsidR="003B0CB8">
        <w:rPr>
          <w:rFonts w:ascii="Times New Roman" w:hAnsi="Times New Roman" w:cs="Times New Roman"/>
        </w:rPr>
        <w:t xml:space="preserve"> in New York</w:t>
      </w:r>
      <w:r w:rsidR="00612D96">
        <w:rPr>
          <w:rFonts w:ascii="Times New Roman" w:hAnsi="Times New Roman" w:cs="Times New Roman"/>
        </w:rPr>
        <w:t xml:space="preserve">. In particular, </w:t>
      </w:r>
      <w:r w:rsidR="0020669D">
        <w:rPr>
          <w:rFonts w:ascii="Times New Roman" w:hAnsi="Times New Roman" w:cs="Times New Roman"/>
        </w:rPr>
        <w:t xml:space="preserve">we want to determine if </w:t>
      </w:r>
      <w:r w:rsidR="0C3F83A9" w:rsidRPr="7CFBAD4A">
        <w:rPr>
          <w:rFonts w:ascii="Times New Roman" w:hAnsi="Times New Roman" w:cs="Times New Roman"/>
        </w:rPr>
        <w:t>t</w:t>
      </w:r>
      <w:r w:rsidR="0020669D" w:rsidRPr="7CFBAD4A">
        <w:rPr>
          <w:rFonts w:ascii="Times New Roman" w:hAnsi="Times New Roman" w:cs="Times New Roman"/>
        </w:rPr>
        <w:t>he</w:t>
      </w:r>
      <w:r w:rsidR="0020669D">
        <w:rPr>
          <w:rFonts w:ascii="Times New Roman" w:hAnsi="Times New Roman" w:cs="Times New Roman"/>
        </w:rPr>
        <w:t xml:space="preserve"> data listed is normally distributed or not by multiple methods such as </w:t>
      </w:r>
      <w:r w:rsidR="00BE57EC">
        <w:rPr>
          <w:rFonts w:ascii="Times New Roman" w:hAnsi="Times New Roman" w:cs="Times New Roman"/>
        </w:rPr>
        <w:t xml:space="preserve">shape of histogram and Q-Q </w:t>
      </w:r>
      <w:r w:rsidR="00E4071E">
        <w:rPr>
          <w:rFonts w:ascii="Times New Roman" w:hAnsi="Times New Roman" w:cs="Times New Roman"/>
        </w:rPr>
        <w:t xml:space="preserve">plot. We hypothesize that </w:t>
      </w:r>
      <w:r w:rsidR="00A55801">
        <w:rPr>
          <w:rFonts w:ascii="Times New Roman" w:hAnsi="Times New Roman" w:cs="Times New Roman"/>
        </w:rPr>
        <w:t xml:space="preserve">schools’ </w:t>
      </w:r>
      <w:r w:rsidR="00E4071E">
        <w:rPr>
          <w:rFonts w:ascii="Times New Roman" w:hAnsi="Times New Roman" w:cs="Times New Roman"/>
        </w:rPr>
        <w:t>refusal data of</w:t>
      </w:r>
      <w:r w:rsidR="00A55801">
        <w:rPr>
          <w:rFonts w:ascii="Times New Roman" w:hAnsi="Times New Roman" w:cs="Times New Roman"/>
        </w:rPr>
        <w:t xml:space="preserve"> ELA is evenly distributed.</w:t>
      </w:r>
    </w:p>
    <w:p w14:paraId="597C3780" w14:textId="519909D1" w:rsidR="00457BD2" w:rsidRPr="00CA0AC2" w:rsidRDefault="00457BD2" w:rsidP="005C751E">
      <w:pPr>
        <w:pStyle w:val="Heading1"/>
      </w:pPr>
      <w:r>
        <w:t>Methodology</w:t>
      </w:r>
    </w:p>
    <w:p w14:paraId="082DB478" w14:textId="33E8394B" w:rsidR="00CA0AC2" w:rsidRPr="00886C16" w:rsidRDefault="00CA0AC2" w:rsidP="005C751E">
      <w:pPr>
        <w:pStyle w:val="Heading2"/>
      </w:pPr>
      <w:r>
        <w:rPr>
          <w:rFonts w:hint="eastAsia"/>
        </w:rPr>
        <w:t>Study</w:t>
      </w:r>
      <w:r>
        <w:t xml:space="preserve"> Variables</w:t>
      </w:r>
    </w:p>
    <w:p w14:paraId="419B04DF" w14:textId="37F90818" w:rsidR="00DC100B" w:rsidRDefault="0010300A" w:rsidP="005C751E">
      <w:pPr>
        <w:spacing w:line="360" w:lineRule="auto"/>
      </w:pPr>
      <w:r>
        <w:rPr>
          <w:rFonts w:hint="eastAsia"/>
        </w:rPr>
        <w:t>Re</w:t>
      </w:r>
      <w:r>
        <w:t xml:space="preserve">fusal percent is a continuous numerical variable included. </w:t>
      </w:r>
      <w:r w:rsidR="0011225B">
        <w:t xml:space="preserve">It represents </w:t>
      </w:r>
      <w:r w:rsidR="0011225B" w:rsidRPr="0011225B">
        <w:t>the percentage of students who refused to take the Grade 3-8 ELA test in a given public school during the 2023-2024 school year.</w:t>
      </w:r>
    </w:p>
    <w:p w14:paraId="48F68C42" w14:textId="65D2BFB8" w:rsidR="00D628FE" w:rsidRPr="00D628FE" w:rsidRDefault="00886C16" w:rsidP="005C751E">
      <w:pPr>
        <w:pStyle w:val="Heading2"/>
        <w:rPr>
          <w:rFonts w:asciiTheme="minorHAnsi" w:eastAsiaTheme="minorEastAsia" w:hAnsiTheme="minorHAnsi" w:cstheme="minorBidi"/>
          <w:i w:val="0"/>
        </w:rPr>
      </w:pPr>
      <w:r>
        <w:t xml:space="preserve">Statistical </w:t>
      </w:r>
      <w:r w:rsidR="009D3D5B">
        <w:rPr>
          <w:rFonts w:hint="eastAsia"/>
        </w:rPr>
        <w:t>Symbols</w:t>
      </w:r>
    </w:p>
    <w:p w14:paraId="25133C14" w14:textId="493DB913" w:rsidR="0052319C" w:rsidRPr="0052319C" w:rsidRDefault="00D628FE" w:rsidP="005C751E">
      <w:pPr>
        <w:tabs>
          <w:tab w:val="left" w:pos="3524"/>
        </w:tabs>
        <w:spacing w:line="360" w:lineRule="auto"/>
      </w:pPr>
      <w:r>
        <w:t xml:space="preserve">Population </w:t>
      </w:r>
      <w:proofErr w:type="gramStart"/>
      <w:r>
        <w:t>mean</w:t>
      </w:r>
      <w:proofErr w:type="gramEnd"/>
      <w:r w:rsidR="00EE69ED">
        <w:t xml:space="preserve"> </w:t>
      </w:r>
      <m:oMath>
        <m:r>
          <w:rPr>
            <w:rFonts w:ascii="Cambria Math" w:hAnsi="Cambria Math"/>
          </w:rPr>
          <m:t>(μ)</m:t>
        </m:r>
      </m:oMath>
      <w:r w:rsidR="00CC5209">
        <w:t xml:space="preserve"> </w:t>
      </w:r>
    </w:p>
    <w:p w14:paraId="5D785797" w14:textId="68323E64" w:rsidR="00607F3C" w:rsidRDefault="00607F3C" w:rsidP="005C751E">
      <w:pPr>
        <w:spacing w:line="360" w:lineRule="auto"/>
      </w:pPr>
      <w:r>
        <w:t>Population standard deviation</w:t>
      </w:r>
      <w:r w:rsidR="000A072B">
        <w:t xml:space="preserve"> </w:t>
      </w:r>
      <m:oMath>
        <m:r>
          <w:rPr>
            <w:rFonts w:ascii="Cambria Math" w:hAnsi="Cambria Math"/>
          </w:rPr>
          <m:t>(σ)</m:t>
        </m:r>
      </m:oMath>
    </w:p>
    <w:p w14:paraId="4075F3B6" w14:textId="46884671" w:rsidR="00F13EF0" w:rsidRDefault="00EE69ED" w:rsidP="005C751E">
      <w:pPr>
        <w:spacing w:line="360" w:lineRule="auto"/>
      </w:pPr>
      <w:r>
        <w:t>Population size</w:t>
      </w:r>
      <w:r w:rsidR="000A072B">
        <w:t xml:space="preserve"> </w:t>
      </w:r>
      <m:oMath>
        <m:r>
          <w:rPr>
            <w:rFonts w:ascii="Cambria Math" w:hAnsi="Cambria Math"/>
          </w:rPr>
          <m:t>(N)</m:t>
        </m:r>
      </m:oMath>
    </w:p>
    <w:p w14:paraId="453E764A" w14:textId="1498D310" w:rsidR="009106FD" w:rsidRPr="00F13EF0" w:rsidRDefault="009106FD" w:rsidP="005C751E">
      <w:pPr>
        <w:spacing w:line="360" w:lineRule="auto"/>
      </w:pPr>
      <w:r>
        <w:t>P</w:t>
      </w:r>
      <w:r w:rsidR="00940BC5">
        <w:rPr>
          <w:rFonts w:hint="eastAsia"/>
        </w:rPr>
        <w:t>o</w:t>
      </w:r>
      <w:r w:rsidR="00940BC5">
        <w:t xml:space="preserve">pulation median </w:t>
      </w:r>
      <m:oMath>
        <m:r>
          <w:rPr>
            <w:rFonts w:ascii="Cambria Math" w:hAnsi="Cambria Math"/>
          </w:rPr>
          <m:t>(η)</m:t>
        </m:r>
      </m:oMath>
    </w:p>
    <w:p w14:paraId="15BAFE70" w14:textId="4B18ECDF" w:rsidR="003E33A0" w:rsidRDefault="003E33A0" w:rsidP="005C751E">
      <w:pPr>
        <w:pStyle w:val="Heading2"/>
      </w:pPr>
      <w:r>
        <w:t>Statistical concepts</w:t>
      </w:r>
    </w:p>
    <w:p w14:paraId="330D4D35" w14:textId="3159CADE" w:rsidR="00F0026D" w:rsidRDefault="00877135" w:rsidP="005C751E">
      <w:pPr>
        <w:spacing w:line="360" w:lineRule="auto"/>
      </w:pPr>
      <w:r>
        <w:t>Mean, Median, Standard Deviation</w:t>
      </w:r>
      <w:r w:rsidR="00F0026D">
        <w:t xml:space="preserve"> </w:t>
      </w:r>
    </w:p>
    <w:p w14:paraId="3E45D5B9" w14:textId="76D7AF07" w:rsidR="006E54F5" w:rsidRDefault="006E54F5" w:rsidP="005C751E">
      <w:pPr>
        <w:spacing w:line="360" w:lineRule="auto"/>
      </w:pPr>
      <w:r>
        <w:rPr>
          <w:rFonts w:hint="eastAsia"/>
        </w:rPr>
        <w:lastRenderedPageBreak/>
        <w:t>Box</w:t>
      </w:r>
      <w:r>
        <w:t>plot</w:t>
      </w:r>
      <w:r w:rsidR="007A6756">
        <w:t xml:space="preserve"> and IQR (Interquartile Range)</w:t>
      </w:r>
    </w:p>
    <w:p w14:paraId="09AACA5A" w14:textId="4B6293D5" w:rsidR="00FC3E8C" w:rsidRDefault="00FC3E8C" w:rsidP="005C751E">
      <w:pPr>
        <w:spacing w:line="360" w:lineRule="auto"/>
      </w:pPr>
      <w:r>
        <w:t>Histogram</w:t>
      </w:r>
    </w:p>
    <w:p w14:paraId="503B98B4" w14:textId="1FCE28A0" w:rsidR="00D128DC" w:rsidRDefault="00D128DC" w:rsidP="005C751E">
      <w:pPr>
        <w:spacing w:line="360" w:lineRule="auto"/>
      </w:pPr>
      <w:r>
        <w:t>Q-Q Plot</w:t>
      </w:r>
      <w:r w:rsidR="002E281F">
        <w:t xml:space="preserve"> </w:t>
      </w:r>
    </w:p>
    <w:p w14:paraId="0AF59AB6" w14:textId="19990259" w:rsidR="00FC3E8C" w:rsidRDefault="00600ACD" w:rsidP="005C751E">
      <w:pPr>
        <w:pStyle w:val="Heading2"/>
      </w:pPr>
      <w:r>
        <w:t>Technology and Tools</w:t>
      </w:r>
    </w:p>
    <w:p w14:paraId="6059D970" w14:textId="6B6F4332" w:rsidR="00600ACD" w:rsidRDefault="00600ACD" w:rsidP="005C751E">
      <w:pPr>
        <w:spacing w:line="360" w:lineRule="auto"/>
      </w:pPr>
      <w:r>
        <w:t xml:space="preserve">We used </w:t>
      </w:r>
      <w:r w:rsidR="00901D6C">
        <w:rPr>
          <w:rFonts w:hint="eastAsia"/>
        </w:rPr>
        <w:t xml:space="preserve">Microsoft </w:t>
      </w:r>
      <w:r w:rsidR="007776C4">
        <w:rPr>
          <w:rFonts w:hint="eastAsia"/>
        </w:rPr>
        <w:t>E</w:t>
      </w:r>
      <w:r>
        <w:t xml:space="preserve">xcel </w:t>
      </w:r>
      <w:r w:rsidR="005A60AE">
        <w:rPr>
          <w:rFonts w:hint="eastAsia"/>
        </w:rPr>
        <w:t>and</w:t>
      </w:r>
      <w:r w:rsidR="005A60AE">
        <w:t xml:space="preserve"> R</w:t>
      </w:r>
      <w:r>
        <w:t xml:space="preserve"> to analyze data and generate graphs. </w:t>
      </w:r>
    </w:p>
    <w:p w14:paraId="3C86568C" w14:textId="7650230F" w:rsidR="003A1EC1" w:rsidRDefault="00901D6C" w:rsidP="005C751E">
      <w:pPr>
        <w:pStyle w:val="Heading1"/>
      </w:pPr>
      <w:commentRangeStart w:id="0"/>
      <w:commentRangeStart w:id="1"/>
      <w:r>
        <w:rPr>
          <w:rFonts w:hint="eastAsia"/>
        </w:rPr>
        <w:t>Data</w:t>
      </w:r>
      <w:r>
        <w:t xml:space="preserve"> Summary</w:t>
      </w:r>
      <w:r w:rsidR="00394D92">
        <w:rPr>
          <w:rFonts w:hint="eastAsia"/>
        </w:rPr>
        <w:t xml:space="preserve"> </w:t>
      </w:r>
      <w:r w:rsidR="00394D92">
        <w:t>and Analysis</w:t>
      </w:r>
      <w:commentRangeEnd w:id="0"/>
      <w:r w:rsidR="00776067">
        <w:rPr>
          <w:rStyle w:val="CommentReference"/>
          <w:rFonts w:asciiTheme="minorHAnsi" w:eastAsiaTheme="minorEastAsia" w:hAnsiTheme="minorHAnsi" w:cstheme="minorBidi"/>
          <w:b w:val="0"/>
          <w:bCs w:val="0"/>
          <w:i w:val="0"/>
          <w:iCs w:val="0"/>
        </w:rPr>
        <w:commentReference w:id="0"/>
      </w:r>
      <w:commentRangeEnd w:id="1"/>
      <w:r w:rsidR="00776067">
        <w:rPr>
          <w:rStyle w:val="CommentReference"/>
          <w:rFonts w:asciiTheme="minorHAnsi" w:eastAsiaTheme="minorEastAsia" w:hAnsiTheme="minorHAnsi" w:cstheme="minorBidi"/>
          <w:b w:val="0"/>
          <w:bCs w:val="0"/>
          <w:i w:val="0"/>
          <w:iCs w:val="0"/>
        </w:rPr>
        <w:commentReference w:id="1"/>
      </w:r>
    </w:p>
    <w:p w14:paraId="031FAFC0" w14:textId="4839B66D" w:rsidR="00E12CBF" w:rsidRDefault="00E12CBF" w:rsidP="005C751E">
      <w:pPr>
        <w:pStyle w:val="Caption"/>
        <w:keepNext/>
        <w:spacing w:line="360" w:lineRule="auto"/>
        <w:jc w:val="center"/>
      </w:pPr>
      <w:r>
        <w:t xml:space="preserve">Table </w:t>
      </w:r>
      <w:fldSimple w:instr=" SEQ Table \* ARABIC ">
        <w:r w:rsidR="005625E6">
          <w:rPr>
            <w:noProof/>
          </w:rPr>
          <w:t>1</w:t>
        </w:r>
      </w:fldSimple>
      <w:r>
        <w:rPr>
          <w:rFonts w:hint="eastAsia"/>
        </w:rPr>
        <w:t xml:space="preserve"> Importan</w:t>
      </w:r>
      <w:r>
        <w:t xml:space="preserve">t </w:t>
      </w:r>
      <w:r w:rsidR="00647D6E">
        <w:t>Numerical Statistical Values</w:t>
      </w:r>
      <w:r w:rsidR="00522C6A">
        <w:t xml:space="preserve"> of % Refused Students taking ELA Test by School</w:t>
      </w:r>
    </w:p>
    <w:tbl>
      <w:tblPr>
        <w:tblStyle w:val="PlainTable2"/>
        <w:tblW w:w="9070" w:type="dxa"/>
        <w:jc w:val="center"/>
        <w:tblLook w:val="04A0" w:firstRow="1" w:lastRow="0" w:firstColumn="1" w:lastColumn="0" w:noHBand="0" w:noVBand="1"/>
      </w:tblPr>
      <w:tblGrid>
        <w:gridCol w:w="1814"/>
        <w:gridCol w:w="1814"/>
        <w:gridCol w:w="1814"/>
        <w:gridCol w:w="1814"/>
        <w:gridCol w:w="1814"/>
      </w:tblGrid>
      <w:tr w:rsidR="00E34743" w14:paraId="1E2400F5" w14:textId="68407B76" w:rsidTr="00883033">
        <w:trPr>
          <w:cnfStyle w:val="100000000000" w:firstRow="1" w:lastRow="0" w:firstColumn="0" w:lastColumn="0" w:oddVBand="0" w:evenVBand="0" w:oddHBand="0" w:evenHBand="0" w:firstRowFirstColumn="0" w:firstRowLastColumn="0" w:lastRowFirstColumn="0" w:lastRowLastColumn="0"/>
          <w:trHeight w:val="876"/>
          <w:jc w:val="center"/>
        </w:trPr>
        <w:tc>
          <w:tcPr>
            <w:cnfStyle w:val="001000000000" w:firstRow="0" w:lastRow="0" w:firstColumn="1" w:lastColumn="0" w:oddVBand="0" w:evenVBand="0" w:oddHBand="0" w:evenHBand="0" w:firstRowFirstColumn="0" w:firstRowLastColumn="0" w:lastRowFirstColumn="0" w:lastRowLastColumn="0"/>
            <w:tcW w:w="1814" w:type="dxa"/>
          </w:tcPr>
          <w:p w14:paraId="44DAFC78" w14:textId="77777777" w:rsidR="00E34743" w:rsidRDefault="00E34743" w:rsidP="00442D5B">
            <w:pPr>
              <w:ind w:firstLine="0"/>
              <w:jc w:val="center"/>
            </w:pPr>
          </w:p>
        </w:tc>
        <w:tc>
          <w:tcPr>
            <w:tcW w:w="1814" w:type="dxa"/>
          </w:tcPr>
          <w:p w14:paraId="20145B11" w14:textId="3F6B614D" w:rsidR="00E34743" w:rsidRDefault="00E34743" w:rsidP="00442D5B">
            <w:pPr>
              <w:ind w:firstLine="0"/>
              <w:jc w:val="center"/>
              <w:cnfStyle w:val="100000000000" w:firstRow="1" w:lastRow="0" w:firstColumn="0" w:lastColumn="0" w:oddVBand="0" w:evenVBand="0" w:oddHBand="0" w:evenHBand="0" w:firstRowFirstColumn="0" w:firstRowLastColumn="0" w:lastRowFirstColumn="0" w:lastRowLastColumn="0"/>
            </w:pPr>
            <w:r>
              <w:t xml:space="preserve">Population size </w:t>
            </w:r>
            <m:oMath>
              <m:r>
                <m:rPr>
                  <m:sty m:val="bi"/>
                </m:rPr>
                <w:rPr>
                  <w:rFonts w:ascii="Cambria Math" w:hAnsi="Cambria Math"/>
                </w:rPr>
                <m:t>(N)</m:t>
              </m:r>
            </m:oMath>
          </w:p>
        </w:tc>
        <w:tc>
          <w:tcPr>
            <w:tcW w:w="1814" w:type="dxa"/>
          </w:tcPr>
          <w:p w14:paraId="47F65BFD" w14:textId="25A60B77" w:rsidR="00E34743" w:rsidRDefault="00E34743" w:rsidP="00442D5B">
            <w:pPr>
              <w:ind w:firstLine="0"/>
              <w:jc w:val="center"/>
              <w:cnfStyle w:val="100000000000" w:firstRow="1" w:lastRow="0" w:firstColumn="0" w:lastColumn="0" w:oddVBand="0" w:evenVBand="0" w:oddHBand="0" w:evenHBand="0" w:firstRowFirstColumn="0" w:firstRowLastColumn="0" w:lastRowFirstColumn="0" w:lastRowLastColumn="0"/>
            </w:pPr>
            <w:r>
              <w:t xml:space="preserve">Population </w:t>
            </w:r>
            <w:proofErr w:type="gramStart"/>
            <w:r>
              <w:t>mean</w:t>
            </w:r>
            <w:proofErr w:type="gramEnd"/>
            <w:r>
              <w:t xml:space="preserve"> </w:t>
            </w:r>
            <m:oMath>
              <m:r>
                <m:rPr>
                  <m:sty m:val="bi"/>
                </m:rPr>
                <w:rPr>
                  <w:rFonts w:ascii="Cambria Math" w:hAnsi="Cambria Math"/>
                </w:rPr>
                <m:t>(μ)</m:t>
              </m:r>
            </m:oMath>
          </w:p>
        </w:tc>
        <w:tc>
          <w:tcPr>
            <w:tcW w:w="1814" w:type="dxa"/>
          </w:tcPr>
          <w:p w14:paraId="5133D752" w14:textId="5F39118F" w:rsidR="00E34743" w:rsidRDefault="00E34743" w:rsidP="00442D5B">
            <w:pPr>
              <w:ind w:firstLine="0"/>
              <w:jc w:val="center"/>
              <w:cnfStyle w:val="100000000000" w:firstRow="1" w:lastRow="0" w:firstColumn="0" w:lastColumn="0" w:oddVBand="0" w:evenVBand="0" w:oddHBand="0" w:evenHBand="0" w:firstRowFirstColumn="0" w:firstRowLastColumn="0" w:lastRowFirstColumn="0" w:lastRowLastColumn="0"/>
            </w:pPr>
            <w:r>
              <w:t xml:space="preserve">Population median </w:t>
            </w:r>
            <m:oMath>
              <m:r>
                <m:rPr>
                  <m:sty m:val="bi"/>
                </m:rPr>
                <w:rPr>
                  <w:rFonts w:ascii="Cambria Math" w:hAnsi="Cambria Math"/>
                </w:rPr>
                <m:t>(η)</m:t>
              </m:r>
            </m:oMath>
          </w:p>
        </w:tc>
        <w:tc>
          <w:tcPr>
            <w:tcW w:w="1814" w:type="dxa"/>
          </w:tcPr>
          <w:p w14:paraId="4CD83988" w14:textId="181D5B6D" w:rsidR="00E34743" w:rsidRDefault="00E34743" w:rsidP="00442D5B">
            <w:pPr>
              <w:ind w:firstLine="0"/>
              <w:jc w:val="center"/>
              <w:cnfStyle w:val="100000000000" w:firstRow="1" w:lastRow="0" w:firstColumn="0" w:lastColumn="0" w:oddVBand="0" w:evenVBand="0" w:oddHBand="0" w:evenHBand="0" w:firstRowFirstColumn="0" w:firstRowLastColumn="0" w:lastRowFirstColumn="0" w:lastRowLastColumn="0"/>
            </w:pPr>
            <w:r>
              <w:t xml:space="preserve">Population standard deviation </w:t>
            </w:r>
            <m:oMath>
              <m:r>
                <m:rPr>
                  <m:sty m:val="bi"/>
                </m:rPr>
                <w:rPr>
                  <w:rFonts w:ascii="Cambria Math" w:hAnsi="Cambria Math"/>
                </w:rPr>
                <m:t>(σ)</m:t>
              </m:r>
            </m:oMath>
          </w:p>
        </w:tc>
      </w:tr>
      <w:tr w:rsidR="00E34743" w14:paraId="0C5710D8" w14:textId="0277641D" w:rsidTr="007A53A9">
        <w:trPr>
          <w:cnfStyle w:val="000000100000" w:firstRow="0" w:lastRow="0" w:firstColumn="0" w:lastColumn="0" w:oddVBand="0" w:evenVBand="0" w:oddHBand="1"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1814" w:type="dxa"/>
          </w:tcPr>
          <w:p w14:paraId="664575B8" w14:textId="71F0DD4E" w:rsidR="00E34743" w:rsidRDefault="00E34743" w:rsidP="00442D5B">
            <w:pPr>
              <w:ind w:firstLine="0"/>
              <w:jc w:val="center"/>
            </w:pPr>
            <w:r>
              <w:rPr>
                <w:rFonts w:hint="eastAsia"/>
              </w:rPr>
              <w:t>ELA</w:t>
            </w:r>
            <w:r>
              <w:t xml:space="preserve"> Test refusal rates</w:t>
            </w:r>
          </w:p>
        </w:tc>
        <w:tc>
          <w:tcPr>
            <w:tcW w:w="1814" w:type="dxa"/>
          </w:tcPr>
          <w:p w14:paraId="11C1EEF6" w14:textId="0E90906F" w:rsidR="00E34743" w:rsidRDefault="00E34743" w:rsidP="00442D5B">
            <w:pPr>
              <w:ind w:firstLine="0"/>
              <w:jc w:val="center"/>
              <w:cnfStyle w:val="000000100000" w:firstRow="0" w:lastRow="0" w:firstColumn="0" w:lastColumn="0" w:oddVBand="0" w:evenVBand="0" w:oddHBand="1" w:evenHBand="0" w:firstRowFirstColumn="0" w:firstRowLastColumn="0" w:lastRowFirstColumn="0" w:lastRowLastColumn="0"/>
            </w:pPr>
            <w:r>
              <w:rPr>
                <w:rFonts w:hint="eastAsia"/>
              </w:rPr>
              <w:t>1011</w:t>
            </w:r>
          </w:p>
        </w:tc>
        <w:tc>
          <w:tcPr>
            <w:tcW w:w="1814" w:type="dxa"/>
          </w:tcPr>
          <w:p w14:paraId="57F9020C" w14:textId="13D4A623" w:rsidR="00E34743" w:rsidRDefault="00E34743" w:rsidP="00442D5B">
            <w:pPr>
              <w:ind w:firstLine="0"/>
              <w:jc w:val="center"/>
              <w:cnfStyle w:val="000000100000" w:firstRow="0" w:lastRow="0" w:firstColumn="0" w:lastColumn="0" w:oddVBand="0" w:evenVBand="0" w:oddHBand="1" w:evenHBand="0" w:firstRowFirstColumn="0" w:firstRowLastColumn="0" w:lastRowFirstColumn="0" w:lastRowLastColumn="0"/>
            </w:pPr>
            <w:r>
              <w:rPr>
                <w:rFonts w:hint="eastAsia"/>
              </w:rPr>
              <w:t>9.6503</w:t>
            </w:r>
          </w:p>
        </w:tc>
        <w:tc>
          <w:tcPr>
            <w:tcW w:w="1814" w:type="dxa"/>
          </w:tcPr>
          <w:p w14:paraId="06D0666C" w14:textId="7944B8EF" w:rsidR="00E34743" w:rsidRDefault="00E34743" w:rsidP="00442D5B">
            <w:pPr>
              <w:ind w:firstLine="0"/>
              <w:jc w:val="center"/>
              <w:cnfStyle w:val="000000100000" w:firstRow="0" w:lastRow="0" w:firstColumn="0" w:lastColumn="0" w:oddVBand="0" w:evenVBand="0" w:oddHBand="1" w:evenHBand="0" w:firstRowFirstColumn="0" w:firstRowLastColumn="0" w:lastRowFirstColumn="0" w:lastRowLastColumn="0"/>
            </w:pPr>
            <w:r>
              <w:rPr>
                <w:rFonts w:hint="eastAsia"/>
              </w:rPr>
              <w:t>5.5</w:t>
            </w:r>
          </w:p>
        </w:tc>
        <w:tc>
          <w:tcPr>
            <w:tcW w:w="1814" w:type="dxa"/>
          </w:tcPr>
          <w:p w14:paraId="03F5EB78" w14:textId="5669BFD7" w:rsidR="00E34743" w:rsidRDefault="00E34743" w:rsidP="00442D5B">
            <w:pPr>
              <w:ind w:firstLine="0"/>
              <w:jc w:val="center"/>
              <w:cnfStyle w:val="000000100000" w:firstRow="0" w:lastRow="0" w:firstColumn="0" w:lastColumn="0" w:oddVBand="0" w:evenVBand="0" w:oddHBand="1" w:evenHBand="0" w:firstRowFirstColumn="0" w:firstRowLastColumn="0" w:lastRowFirstColumn="0" w:lastRowLastColumn="0"/>
            </w:pPr>
            <w:r>
              <w:rPr>
                <w:rFonts w:hint="eastAsia"/>
              </w:rPr>
              <w:t>11.6</w:t>
            </w:r>
          </w:p>
        </w:tc>
      </w:tr>
    </w:tbl>
    <w:p w14:paraId="08ED2CA0" w14:textId="77777777" w:rsidR="00FC5AE0" w:rsidRDefault="00FC5AE0" w:rsidP="00442D5B">
      <w:pPr>
        <w:spacing w:line="360" w:lineRule="auto"/>
        <w:jc w:val="center"/>
      </w:pPr>
    </w:p>
    <w:p w14:paraId="6EA3BD67" w14:textId="354C10A1" w:rsidR="003E4DCD" w:rsidRPr="003E4DCD" w:rsidRDefault="00E12CBF" w:rsidP="005C751E">
      <w:pPr>
        <w:spacing w:line="360" w:lineRule="auto"/>
      </w:pPr>
      <w:r>
        <w:t>The data in Table 1</w:t>
      </w:r>
      <w:r w:rsidR="00E266B1">
        <w:t xml:space="preserve"> </w:t>
      </w:r>
      <w:r w:rsidR="00FC5AE0">
        <w:t xml:space="preserve">suggests a deviation from normality. If data is perfectly normally distributed, mean should equal to median. </w:t>
      </w:r>
      <w:r w:rsidR="007A0DDF">
        <w:t xml:space="preserve">However, </w:t>
      </w:r>
      <w:r w:rsidR="00702D83">
        <w:t xml:space="preserve">the refusal rates of students have a mean of 9.6503 and a median of 5.5, indicating </w:t>
      </w:r>
      <w:r w:rsidR="002A4598">
        <w:t xml:space="preserve">extreme values are pulling the data away from the median towards the </w:t>
      </w:r>
      <w:r w:rsidR="00A81F77">
        <w:t>positive direction</w:t>
      </w:r>
      <w:r w:rsidR="00BC5A79">
        <w:t>, which is later shown in Table 2 by skewed tails to the right.</w:t>
      </w:r>
    </w:p>
    <w:p w14:paraId="70F10261" w14:textId="77777777" w:rsidR="00E12CBF" w:rsidRDefault="00DF03A4" w:rsidP="005C751E">
      <w:pPr>
        <w:pStyle w:val="Heading1"/>
        <w:jc w:val="center"/>
      </w:pPr>
      <w:r>
        <w:tab/>
      </w:r>
    </w:p>
    <w:p w14:paraId="68F53128" w14:textId="0F4468E4" w:rsidR="00E12CBF" w:rsidRDefault="00E12CBF" w:rsidP="005C751E">
      <w:pPr>
        <w:pStyle w:val="Caption"/>
        <w:keepNext/>
        <w:spacing w:line="360" w:lineRule="auto"/>
        <w:jc w:val="center"/>
      </w:pPr>
      <w:r>
        <w:lastRenderedPageBreak/>
        <w:t xml:space="preserve">Table </w:t>
      </w:r>
      <w:fldSimple w:instr=" SEQ Table \* ARABIC ">
        <w:r w:rsidR="005625E6">
          <w:rPr>
            <w:noProof/>
          </w:rPr>
          <w:t>2</w:t>
        </w:r>
      </w:fldSimple>
      <w:r>
        <w:t xml:space="preserve"> </w:t>
      </w:r>
      <w:r w:rsidR="00522C6A">
        <w:t xml:space="preserve">Histogram of </w:t>
      </w:r>
      <w:r>
        <w:t>Frequency of % Refused Students taking ELA Test</w:t>
      </w:r>
      <w:r w:rsidR="00522C6A">
        <w:t xml:space="preserve"> by School</w:t>
      </w:r>
      <w:r w:rsidR="00E54E0F">
        <w:t xml:space="preserve"> </w:t>
      </w:r>
    </w:p>
    <w:commentRangeStart w:id="2"/>
    <w:p w14:paraId="0878559B" w14:textId="5267BE01" w:rsidR="00B443AF" w:rsidRDefault="00B443AF" w:rsidP="005C751E">
      <w:pPr>
        <w:pStyle w:val="Heading1"/>
        <w:jc w:val="center"/>
      </w:pPr>
      <w:r>
        <w:rPr>
          <w:noProof/>
        </w:rPr>
        <mc:AlternateContent>
          <mc:Choice Requires="cx1">
            <w:drawing>
              <wp:inline distT="0" distB="0" distL="0" distR="0" wp14:anchorId="7B4DB5F9" wp14:editId="6A992201">
                <wp:extent cx="3556800" cy="2577600"/>
                <wp:effectExtent l="0" t="0" r="12065" b="635"/>
                <wp:docPr id="475625951" name="Chart 1">
                  <a:extLst xmlns:a="http://schemas.openxmlformats.org/drawingml/2006/main">
                    <a:ext uri="{FF2B5EF4-FFF2-40B4-BE49-F238E27FC236}">
                      <a16:creationId xmlns:a16="http://schemas.microsoft.com/office/drawing/2014/main" id="{C2984A3F-23B5-B6BA-99C4-37D49688010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inline>
            </w:drawing>
          </mc:Choice>
          <mc:Fallback xmlns:arto="http://schemas.microsoft.com/office/word/2006/arto">
            <w:drawing xmlns:w="http://schemas.openxmlformats.org/wordprocessingml/2006/main">
              <wp:inline xmlns:wp="http://schemas.openxmlformats.org/drawingml/2006/wordprocessingDrawing" xmlns:wp14="http://schemas.microsoft.com/office/word/2010/wordprocessingDrawing" distT="0" distB="0" distL="0" distR="0" wp14:anchorId="7B4DB5F9" wp14:editId="6A992201">
                <wp:extent cx="3556800" cy="2577600"/>
                <wp:effectExtent l="0" t="0" r="12065" b="635"/>
                <wp:docPr id="475625951" name="Chart 1">
                  <a:extLst xmlns:a="http://schemas.openxmlformats.org/drawingml/2006/main">
                    <a:ext uri="{FF2B5EF4-FFF2-40B4-BE49-F238E27FC236}">
                      <a16:creationId xmlns:a16="http://schemas.microsoft.com/office/drawing/2014/main" id="{C2984A3F-23B5-B6BA-99C4-37D49688010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xmlns:mc="http://schemas.openxmlformats.org/markup-compatibility/2006">
                      <pic:nvPicPr>
                        <pic:cNvPr id="475625951" name="Chart 1">
                          <a:extLst>
                            <a:ext uri="{FF2B5EF4-FFF2-40B4-BE49-F238E27FC236}">
                              <a16:creationId xmlns:a16="http://schemas.microsoft.com/office/drawing/2014/main" id="{C2984A3F-23B5-B6BA-99C4-37D49688010F}"/>
                            </a:ext>
                          </a:extLst>
                        </pic:cNvPr>
                        <pic:cNvPicPr>
                          <a:picLocks noGrp="1" noRot="1" noChangeAspect="1" noMove="1" noResize="1" noEditPoints="1" noAdjustHandles="1" noChangeArrowheads="1" noChangeShapeType="1"/>
                        </pic:cNvPicPr>
                      </pic:nvPicPr>
                      <pic:blipFill>
                        <a:blip xmlns:r="http://schemas.openxmlformats.org/officeDocument/2006/relationships" r:embed="rId12"/>
                        <a:stretch>
                          <a:fillRect/>
                        </a:stretch>
                      </pic:blipFill>
                      <pic:spPr>
                        <a:xfrm>
                          <a:off x="0" y="0"/>
                          <a:ext cx="3556635" cy="2577465"/>
                        </a:xfrm>
                        <a:prstGeom prst="rect">
                          <a:avLst/>
                        </a:prstGeom>
                      </pic:spPr>
                    </pic:pic>
                  </a:graphicData>
                </a:graphic>
              </wp:inline>
            </w:drawing>
          </mc:Fallback>
        </mc:AlternateContent>
      </w:r>
      <w:commentRangeEnd w:id="2"/>
      <w:r w:rsidR="00776067">
        <w:rPr>
          <w:rStyle w:val="CommentReference"/>
          <w:rFonts w:asciiTheme="minorHAnsi" w:eastAsiaTheme="minorEastAsia" w:hAnsiTheme="minorHAnsi" w:cstheme="minorBidi"/>
          <w:b w:val="0"/>
          <w:bCs w:val="0"/>
          <w:i w:val="0"/>
          <w:iCs w:val="0"/>
        </w:rPr>
        <w:commentReference w:id="2"/>
      </w:r>
    </w:p>
    <w:p w14:paraId="5E2DFFCC" w14:textId="763723E5" w:rsidR="00617D76" w:rsidRPr="00617D76" w:rsidRDefault="00617D76" w:rsidP="005C751E">
      <w:pPr>
        <w:pStyle w:val="Caption"/>
        <w:spacing w:line="360" w:lineRule="auto"/>
        <w:jc w:val="center"/>
      </w:pPr>
      <w:r>
        <w:t xml:space="preserve">Figure </w:t>
      </w:r>
      <w:fldSimple w:instr=" SEQ Figure \* ARABIC ">
        <w:r>
          <w:rPr>
            <w:noProof/>
          </w:rPr>
          <w:t>1</w:t>
        </w:r>
      </w:fldSimple>
      <w:r>
        <w:t xml:space="preserve"> A perfect normal distribution.</w:t>
      </w:r>
    </w:p>
    <w:p w14:paraId="37AC9CF6" w14:textId="77777777" w:rsidR="00617D76" w:rsidRDefault="00617D76" w:rsidP="005C751E">
      <w:pPr>
        <w:keepNext/>
        <w:spacing w:line="360" w:lineRule="auto"/>
        <w:jc w:val="center"/>
      </w:pPr>
      <w:r>
        <w:fldChar w:fldCharType="begin"/>
      </w:r>
      <w:r>
        <w:instrText xml:space="preserve"> INCLUDEPICTURE "https://mathbitsnotebook.com/Algebra2/Statistics/normalturqa.jpg" \* MERGEFORMATINET </w:instrText>
      </w:r>
      <w:r>
        <w:fldChar w:fldCharType="separate"/>
      </w:r>
      <w:r>
        <w:rPr>
          <w:noProof/>
        </w:rPr>
        <w:drawing>
          <wp:inline distT="0" distB="0" distL="0" distR="0" wp14:anchorId="74F899D4" wp14:editId="77F7FF9B">
            <wp:extent cx="3882791" cy="2377380"/>
            <wp:effectExtent l="0" t="0" r="3810" b="0"/>
            <wp:docPr id="1749603794" name="Picture 1" descr="normaltu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malturq"/>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3091" cy="2402055"/>
                    </a:xfrm>
                    <a:prstGeom prst="rect">
                      <a:avLst/>
                    </a:prstGeom>
                    <a:noFill/>
                    <a:ln>
                      <a:noFill/>
                    </a:ln>
                  </pic:spPr>
                </pic:pic>
              </a:graphicData>
            </a:graphic>
          </wp:inline>
        </w:drawing>
      </w:r>
      <w:r>
        <w:fldChar w:fldCharType="end"/>
      </w:r>
    </w:p>
    <w:p w14:paraId="6CDB3FCF" w14:textId="77777777" w:rsidR="00640B9C" w:rsidRDefault="00640B9C" w:rsidP="005C751E">
      <w:pPr>
        <w:pStyle w:val="Heading2"/>
      </w:pPr>
      <w:r w:rsidRPr="0062483E">
        <w:t>Analysis of the histogram</w:t>
      </w:r>
    </w:p>
    <w:p w14:paraId="38BE0539" w14:textId="39D57020" w:rsidR="00640B9C" w:rsidRPr="00640B9C" w:rsidRDefault="00673112" w:rsidP="005C751E">
      <w:pPr>
        <w:spacing w:line="360" w:lineRule="auto"/>
      </w:pPr>
      <w:r>
        <w:t xml:space="preserve">We have plotted the refusal rates for ELA tests </w:t>
      </w:r>
      <w:r w:rsidR="00600BD9">
        <w:t xml:space="preserve">by school is graphed in Table 2, with the interval being 4%. </w:t>
      </w:r>
      <w:r w:rsidR="00640B9C">
        <w:t xml:space="preserve">A strongly </w:t>
      </w:r>
      <w:r w:rsidR="00640B9C" w:rsidRPr="00125764">
        <w:t>right-skewed distribution</w:t>
      </w:r>
      <w:r w:rsidR="00640B9C">
        <w:t xml:space="preserve"> can be observed in </w:t>
      </w:r>
      <w:r w:rsidR="001C0CA9">
        <w:t>Table 2</w:t>
      </w:r>
      <w:r w:rsidR="00640B9C">
        <w:t>,</w:t>
      </w:r>
      <w:r w:rsidR="00640B9C" w:rsidRPr="00125764">
        <w:t xml:space="preserve"> </w:t>
      </w:r>
      <w:r w:rsidR="00640B9C">
        <w:t>which indicates</w:t>
      </w:r>
      <w:r w:rsidR="00640B9C" w:rsidRPr="00125764">
        <w:t xml:space="preserve"> most schools have very low refusal rates (near 0%), while a few </w:t>
      </w:r>
      <w:r w:rsidR="00393324" w:rsidRPr="00125764">
        <w:t>shows</w:t>
      </w:r>
      <w:r w:rsidR="00640B9C" w:rsidRPr="00125764">
        <w:t xml:space="preserve"> high rates</w:t>
      </w:r>
      <w:r w:rsidR="004C7BA3">
        <w:t xml:space="preserve">. </w:t>
      </w:r>
      <w:r w:rsidR="0036580B">
        <w:rPr>
          <w:rFonts w:hint="eastAsia"/>
        </w:rPr>
        <w:t>The</w:t>
      </w:r>
      <w:r w:rsidR="0036580B">
        <w:t xml:space="preserve"> vast majority </w:t>
      </w:r>
      <w:r w:rsidR="00FD7598">
        <w:t xml:space="preserve">of </w:t>
      </w:r>
      <w:r w:rsidR="00C30B4B">
        <w:t>schools</w:t>
      </w:r>
      <w:r w:rsidR="00955B2A">
        <w:rPr>
          <w:rFonts w:hint="eastAsia"/>
        </w:rPr>
        <w:t xml:space="preserve"> have</w:t>
      </w:r>
      <w:r w:rsidR="00955B2A">
        <w:t xml:space="preserve"> refusal rates clustered within</w:t>
      </w:r>
      <w:r w:rsidR="00FF1E1E">
        <w:t xml:space="preserve"> 0% and </w:t>
      </w:r>
      <w:r w:rsidR="00367FCF">
        <w:t>20%.</w:t>
      </w:r>
      <w:r w:rsidR="00C30B4B">
        <w:t xml:space="preserve"> </w:t>
      </w:r>
      <w:r w:rsidR="00617D76">
        <w:t xml:space="preserve">Conversely, Figure 1 displays a perfect normal distribution of data. </w:t>
      </w:r>
      <w:r w:rsidR="00EE4747">
        <w:t>The shape pattern of Graph 2 is different from Figure 1. As a result, distribution of refusal rates</w:t>
      </w:r>
      <w:r w:rsidR="00640B9C" w:rsidRPr="00125764">
        <w:t xml:space="preserve"> clearly deviates from normality</w:t>
      </w:r>
      <w:r w:rsidR="00997C4B">
        <w:rPr>
          <w:rFonts w:hint="eastAsia"/>
        </w:rPr>
        <w:t xml:space="preserve"> where</w:t>
      </w:r>
      <w:r w:rsidR="00997C4B">
        <w:t xml:space="preserve"> data should </w:t>
      </w:r>
      <w:r w:rsidR="0040416B">
        <w:t xml:space="preserve">display </w:t>
      </w:r>
      <w:r w:rsidR="00F97B41">
        <w:t>a bell-shaped</w:t>
      </w:r>
      <w:r w:rsidR="00CC6D20">
        <w:t xml:space="preserve">, symmetric </w:t>
      </w:r>
      <w:r w:rsidR="00F97B41">
        <w:t>curve in a histogram.</w:t>
      </w:r>
    </w:p>
    <w:p w14:paraId="6D89476B" w14:textId="3193702A" w:rsidR="001C0CA9" w:rsidRDefault="001C0CA9" w:rsidP="005C751E">
      <w:pPr>
        <w:pStyle w:val="Caption"/>
        <w:keepNext/>
        <w:spacing w:line="360" w:lineRule="auto"/>
        <w:jc w:val="center"/>
      </w:pPr>
      <w:r>
        <w:lastRenderedPageBreak/>
        <w:t xml:space="preserve">Table </w:t>
      </w:r>
      <w:fldSimple w:instr=" SEQ Table \* ARABIC ">
        <w:r w:rsidR="005625E6">
          <w:rPr>
            <w:noProof/>
          </w:rPr>
          <w:t>3</w:t>
        </w:r>
      </w:fldSimple>
      <w:r>
        <w:t xml:space="preserve"> </w:t>
      </w:r>
      <w:r w:rsidR="00E54E0F">
        <w:t>Boxplot</w:t>
      </w:r>
      <w:r>
        <w:t xml:space="preserve"> of % Refused Students taking ELA Test</w:t>
      </w:r>
      <w:r w:rsidR="00E54E0F">
        <w:t xml:space="preserve"> </w:t>
      </w:r>
      <w:r w:rsidR="00522C6A">
        <w:t>by School</w:t>
      </w:r>
    </w:p>
    <w:p w14:paraId="72DB3C4E" w14:textId="4275E3FA" w:rsidR="1535B8CC" w:rsidRDefault="00B15359" w:rsidP="005C751E">
      <w:pPr>
        <w:spacing w:line="360" w:lineRule="auto"/>
        <w:jc w:val="center"/>
      </w:pPr>
      <w:r>
        <w:rPr>
          <w:noProof/>
        </w:rPr>
        <mc:AlternateContent>
          <mc:Choice Requires="cx1">
            <w:drawing>
              <wp:inline distT="0" distB="0" distL="0" distR="0" wp14:anchorId="455097F0" wp14:editId="14F5BB1E">
                <wp:extent cx="2169042" cy="3501655"/>
                <wp:effectExtent l="0" t="0" r="3175" b="3810"/>
                <wp:docPr id="1982865195" name="图表 1">
                  <a:extLst xmlns:a="http://schemas.openxmlformats.org/drawingml/2006/main">
                    <a:ext uri="{FF2B5EF4-FFF2-40B4-BE49-F238E27FC236}">
                      <a16:creationId xmlns:a16="http://schemas.microsoft.com/office/drawing/2014/main" id="{6293282C-C05A-2973-C50C-1AED5115766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4"/>
                  </a:graphicData>
                </a:graphic>
              </wp:inline>
            </w:drawing>
          </mc:Choice>
          <mc:Fallback xmlns:arto="http://schemas.microsoft.com/office/word/2006/arto">
            <w:drawing xmlns:w="http://schemas.openxmlformats.org/wordprocessingml/2006/main">
              <wp:inline xmlns:wp="http://schemas.openxmlformats.org/drawingml/2006/wordprocessingDrawing" xmlns:wp14="http://schemas.microsoft.com/office/word/2010/wordprocessingDrawing" distT="0" distB="0" distL="0" distR="0" wp14:anchorId="455097F0" wp14:editId="14F5BB1E">
                <wp:extent cx="2169042" cy="3501655"/>
                <wp:effectExtent l="0" t="0" r="3175" b="3810"/>
                <wp:docPr id="1982865195" name="图表 1">
                  <a:extLst xmlns:a="http://schemas.openxmlformats.org/drawingml/2006/main">
                    <a:ext uri="{FF2B5EF4-FFF2-40B4-BE49-F238E27FC236}">
                      <a16:creationId xmlns:a16="http://schemas.microsoft.com/office/drawing/2014/main" id="{6293282C-C05A-2973-C50C-1AED5115766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xmlns:mc="http://schemas.openxmlformats.org/markup-compatibility/2006">
                      <pic:nvPicPr>
                        <pic:cNvPr id="1982865195" name="图表 1">
                          <a:extLst>
                            <a:ext uri="{FF2B5EF4-FFF2-40B4-BE49-F238E27FC236}">
                              <a16:creationId xmlns:a16="http://schemas.microsoft.com/office/drawing/2014/main" id="{6293282C-C05A-2973-C50C-1AED51157664}"/>
                            </a:ext>
                          </a:extLst>
                        </pic:cNvPr>
                        <pic:cNvPicPr>
                          <a:picLocks noGrp="1" noRot="1" noChangeAspect="1" noMove="1" noResize="1" noEditPoints="1" noAdjustHandles="1" noChangeArrowheads="1" noChangeShapeType="1"/>
                        </pic:cNvPicPr>
                      </pic:nvPicPr>
                      <pic:blipFill>
                        <a:blip xmlns:r="http://schemas.openxmlformats.org/officeDocument/2006/relationships" r:embed="rId15"/>
                        <a:stretch>
                          <a:fillRect/>
                        </a:stretch>
                      </pic:blipFill>
                      <pic:spPr>
                        <a:xfrm>
                          <a:off x="0" y="0"/>
                          <a:ext cx="2168525" cy="3501390"/>
                        </a:xfrm>
                        <a:prstGeom prst="rect">
                          <a:avLst/>
                        </a:prstGeom>
                      </pic:spPr>
                    </pic:pic>
                  </a:graphicData>
                </a:graphic>
              </wp:inline>
            </w:drawing>
          </mc:Fallback>
        </mc:AlternateContent>
      </w:r>
    </w:p>
    <w:p w14:paraId="794A2F96" w14:textId="2AE28422" w:rsidR="00640B9C" w:rsidRDefault="00640B9C" w:rsidP="005C751E">
      <w:pPr>
        <w:pStyle w:val="Heading2"/>
      </w:pPr>
      <w:r w:rsidRPr="0062483E">
        <w:t>Analysis of the boxplot</w:t>
      </w:r>
    </w:p>
    <w:p w14:paraId="1B0716D1" w14:textId="1BAC1D43" w:rsidR="005625E6" w:rsidRDefault="00BE0B82" w:rsidP="005A6ADC">
      <w:pPr>
        <w:spacing w:line="360" w:lineRule="auto"/>
      </w:pPr>
      <w:r>
        <w:t xml:space="preserve">Table 3 is </w:t>
      </w:r>
      <w:r w:rsidR="00BD090A">
        <w:t>refusal rate for ELA test plotted in a boxplot. Multiple</w:t>
      </w:r>
      <w:r w:rsidR="006F34B0">
        <w:t xml:space="preserve"> large</w:t>
      </w:r>
      <w:r w:rsidR="00BD090A">
        <w:t xml:space="preserve"> outliers </w:t>
      </w:r>
      <w:r w:rsidR="006F34B0">
        <w:t>can be observed, indicating there are extreme values that are higher than the majority of data.</w:t>
      </w:r>
      <w:r w:rsidR="000B37C7">
        <w:t xml:space="preserve"> According to the definition of interquartile range, as quartiles are displaye</w:t>
      </w:r>
      <w:r w:rsidR="00FA00E3">
        <w:t xml:space="preserve">d in the graph, data is not evenly concentrated </w:t>
      </w:r>
      <w:r w:rsidR="000F590A">
        <w:t xml:space="preserve">around the median. </w:t>
      </w:r>
      <w:r w:rsidR="0004167B">
        <w:t xml:space="preserve">We can observe that the interval between </w:t>
      </w:r>
      <w:r w:rsidR="003A5DA0">
        <w:t xml:space="preserve">quarter </w:t>
      </w:r>
      <w:r w:rsidR="0004167B">
        <w:t xml:space="preserve">1 and median is much shorter than the interval between </w:t>
      </w:r>
      <w:r w:rsidR="003A5DA0">
        <w:t>quarter 2</w:t>
      </w:r>
      <w:r w:rsidR="0004167B">
        <w:t xml:space="preserve"> and median. </w:t>
      </w:r>
      <w:r w:rsidR="000F590A">
        <w:t>Because all quartiles contain same number of data, quarter 1 and quarter 2’s data are more concentrated than quarter 3 and quarter 4</w:t>
      </w:r>
      <w:r w:rsidR="003A5DA0">
        <w:t xml:space="preserve">, </w:t>
      </w:r>
      <w:r w:rsidR="00640B9C">
        <w:t xml:space="preserve">which concurs with the </w:t>
      </w:r>
      <w:r w:rsidR="00640B9C">
        <w:rPr>
          <w:rFonts w:hint="eastAsia"/>
        </w:rPr>
        <w:t>concl</w:t>
      </w:r>
      <w:r w:rsidR="00640B9C">
        <w:t>usion above that</w:t>
      </w:r>
      <w:r w:rsidR="00640B9C" w:rsidRPr="003365A4">
        <w:t xml:space="preserve"> the </w:t>
      </w:r>
      <w:r w:rsidR="00B8226C">
        <w:t>distribution of r</w:t>
      </w:r>
      <w:r w:rsidR="005A6ADC">
        <w:rPr>
          <w:rFonts w:hint="eastAsia"/>
        </w:rPr>
        <w:t>efu</w:t>
      </w:r>
      <w:r w:rsidR="005A6ADC">
        <w:t>sal rates</w:t>
      </w:r>
      <w:r w:rsidR="00640B9C">
        <w:t xml:space="preserve"> is strongly right skewed. At</w:t>
      </w:r>
      <w:r w:rsidR="00640B9C" w:rsidRPr="003365A4">
        <w:t xml:space="preserve"> the </w:t>
      </w:r>
      <w:r w:rsidR="00640B9C">
        <w:t>same time, multiple outliers show</w:t>
      </w:r>
      <w:r w:rsidR="00640B9C" w:rsidRPr="003365A4">
        <w:t xml:space="preserve"> the spread of extreme values. </w:t>
      </w:r>
      <w:r w:rsidR="00640B9C">
        <w:t xml:space="preserve">Therefore, the data is not normal </w:t>
      </w:r>
      <w:r w:rsidR="00576CFE">
        <w:rPr>
          <w:rFonts w:hint="eastAsia"/>
        </w:rPr>
        <w:t>distributed</w:t>
      </w:r>
      <w:r w:rsidR="00640B9C">
        <w:t>.</w:t>
      </w:r>
      <w:r w:rsidR="005A6ADC">
        <w:t xml:space="preserve"> </w:t>
      </w:r>
    </w:p>
    <w:p w14:paraId="7A031D79" w14:textId="04858601" w:rsidR="005625E6" w:rsidRDefault="005625E6" w:rsidP="00FA7D8D">
      <w:pPr>
        <w:pStyle w:val="Caption"/>
        <w:keepNext/>
        <w:spacing w:line="360" w:lineRule="auto"/>
        <w:jc w:val="center"/>
      </w:pPr>
      <w:r>
        <w:lastRenderedPageBreak/>
        <w:t xml:space="preserve">Table </w:t>
      </w:r>
      <w:fldSimple w:instr=" SEQ Table \* ARABIC ">
        <w:r>
          <w:rPr>
            <w:noProof/>
          </w:rPr>
          <w:t>4</w:t>
        </w:r>
      </w:fldSimple>
      <w:r w:rsidR="00FA7D8D">
        <w:t xml:space="preserve"> Q-Q Plot of % Refused Students taking ELA Test by School</w:t>
      </w:r>
    </w:p>
    <w:p w14:paraId="781067C9" w14:textId="18D769EB" w:rsidR="002C67FE" w:rsidRPr="009242A9" w:rsidRDefault="00DB273D" w:rsidP="005C751E">
      <w:pPr>
        <w:spacing w:line="360" w:lineRule="auto"/>
        <w:jc w:val="center"/>
      </w:pPr>
      <w:r w:rsidRPr="00DB273D">
        <w:rPr>
          <w:noProof/>
        </w:rPr>
        <w:drawing>
          <wp:inline distT="0" distB="0" distL="0" distR="0" wp14:anchorId="56615022" wp14:editId="471A6F14">
            <wp:extent cx="4231688" cy="3675600"/>
            <wp:effectExtent l="0" t="0" r="0" b="0"/>
            <wp:docPr id="146453313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33134" name="图片 1" descr="图表, 折线图&#10;&#10;AI 生成的内容可能不正确。"/>
                    <pic:cNvPicPr/>
                  </pic:nvPicPr>
                  <pic:blipFill>
                    <a:blip r:embed="rId16"/>
                    <a:stretch>
                      <a:fillRect/>
                    </a:stretch>
                  </pic:blipFill>
                  <pic:spPr>
                    <a:xfrm>
                      <a:off x="0" y="0"/>
                      <a:ext cx="4231688" cy="3675600"/>
                    </a:xfrm>
                    <a:prstGeom prst="rect">
                      <a:avLst/>
                    </a:prstGeom>
                  </pic:spPr>
                </pic:pic>
              </a:graphicData>
            </a:graphic>
          </wp:inline>
        </w:drawing>
      </w:r>
    </w:p>
    <w:p w14:paraId="44CD42F6" w14:textId="38466823" w:rsidR="004720A5" w:rsidRPr="0062483E" w:rsidRDefault="004720A5" w:rsidP="005C751E">
      <w:pPr>
        <w:pStyle w:val="Heading2"/>
      </w:pPr>
      <w:r w:rsidRPr="0062483E">
        <w:t>Analysis of the Q-Q plot</w:t>
      </w:r>
    </w:p>
    <w:p w14:paraId="1740C8FE" w14:textId="50F16DED" w:rsidR="00515DDC" w:rsidRDefault="00E4617E" w:rsidP="00EB5609">
      <w:pPr>
        <w:spacing w:line="360" w:lineRule="auto"/>
      </w:pPr>
      <w:r w:rsidRPr="00E4617E">
        <w:t xml:space="preserve">A Q-Q (Quantile-Quantile) plot is a graph used to assess if a dataset follows a particular theoretical </w:t>
      </w:r>
      <w:r w:rsidR="00152B37" w:rsidRPr="00E4617E">
        <w:t>distribution,</w:t>
      </w:r>
      <w:r w:rsidR="00152B37">
        <w:t xml:space="preserve"> in this case</w:t>
      </w:r>
      <w:r w:rsidRPr="00E4617E">
        <w:t xml:space="preserve"> the normal distribution. It compares the empirical data against the quantiles of a theoretical distribution. If the data follows the theoretical distribution, the points will approximately lie along</w:t>
      </w:r>
      <w:bookmarkStart w:id="3" w:name="OLE_LINK3"/>
      <w:r w:rsidRPr="00E4617E">
        <w:t xml:space="preserve"> a straight reference </w:t>
      </w:r>
      <w:r w:rsidR="00A35EB9" w:rsidRPr="00E4617E">
        <w:t>line</w:t>
      </w:r>
      <w:r w:rsidR="00A35EB9">
        <w:t xml:space="preserve"> (</w:t>
      </w:r>
      <w:r w:rsidR="00595D21" w:rsidRPr="00595D21">
        <w:t xml:space="preserve">y = μ + </w:t>
      </w:r>
      <w:proofErr w:type="spellStart"/>
      <w:r w:rsidR="00595D21" w:rsidRPr="00595D21">
        <w:t>σx</w:t>
      </w:r>
      <w:proofErr w:type="spellEnd"/>
      <w:r w:rsidR="00595D21">
        <w:t>)</w:t>
      </w:r>
      <w:r w:rsidRPr="00E4617E">
        <w:t>.</w:t>
      </w:r>
      <w:bookmarkEnd w:id="3"/>
      <w:r w:rsidRPr="00E4617E">
        <w:t xml:space="preserve"> Deviations from this line </w:t>
      </w:r>
      <w:r w:rsidR="002831DF">
        <w:t xml:space="preserve">indicates skewed distribution such as </w:t>
      </w:r>
      <w:r w:rsidR="003869B8">
        <w:t xml:space="preserve">skewed to left or skewed to right. </w:t>
      </w:r>
      <w:r w:rsidR="00C00FB8">
        <w:t>In</w:t>
      </w:r>
      <w:r w:rsidR="005625E6">
        <w:t xml:space="preserve"> Table 4</w:t>
      </w:r>
      <w:r w:rsidR="00491CA7">
        <w:rPr>
          <w:rFonts w:hint="eastAsia"/>
        </w:rPr>
        <w:t>,</w:t>
      </w:r>
      <w:r w:rsidR="00491CA7">
        <w:t xml:space="preserve"> the</w:t>
      </w:r>
      <w:r w:rsidR="5AEE0485">
        <w:t xml:space="preserve"> x-axis is theoretical </w:t>
      </w:r>
      <w:r w:rsidR="007B33D2">
        <w:rPr>
          <w:rFonts w:hint="eastAsia"/>
        </w:rPr>
        <w:t>normal</w:t>
      </w:r>
      <w:r w:rsidR="007B33D2">
        <w:t xml:space="preserve"> distribution,</w:t>
      </w:r>
      <w:r w:rsidR="5AEE0485">
        <w:t xml:space="preserve"> and y-axis is emp</w:t>
      </w:r>
      <w:r w:rsidR="545CEE14">
        <w:t>i</w:t>
      </w:r>
      <w:r w:rsidR="5AEE0485">
        <w:t>r</w:t>
      </w:r>
      <w:r w:rsidR="17C917F7">
        <w:t>i</w:t>
      </w:r>
      <w:r w:rsidR="5AEE0485">
        <w:t>cal distribution</w:t>
      </w:r>
      <w:r w:rsidR="00085E31">
        <w:t xml:space="preserve"> of refusal rates. </w:t>
      </w:r>
      <w:r w:rsidR="339FCC8F">
        <w:t>If the graph is normal distribution th</w:t>
      </w:r>
      <w:r w:rsidR="3B638FDF">
        <w:t>is</w:t>
      </w:r>
      <w:r w:rsidR="339FCC8F">
        <w:t xml:space="preserve"> graph should be </w:t>
      </w:r>
      <w:r w:rsidR="005C311D">
        <w:rPr>
          <w:rFonts w:hint="eastAsia"/>
        </w:rPr>
        <w:t>aligned</w:t>
      </w:r>
      <w:r w:rsidR="005C311D">
        <w:t xml:space="preserve"> with</w:t>
      </w:r>
      <w:r w:rsidR="00D23B19">
        <w:t xml:space="preserve"> the red line indicated in the graph</w:t>
      </w:r>
      <w:r w:rsidR="7E96B224">
        <w:t>.</w:t>
      </w:r>
      <w:r w:rsidR="00FF6F4C" w:rsidRPr="00FF6F4C">
        <w:t xml:space="preserve"> </w:t>
      </w:r>
      <w:r w:rsidR="00FF6F4C">
        <w:rPr>
          <w:rFonts w:hint="eastAsia"/>
        </w:rPr>
        <w:t>But</w:t>
      </w:r>
      <w:r w:rsidR="00FF6F4C">
        <w:t xml:space="preserve"> </w:t>
      </w:r>
      <w:r w:rsidR="00FF6F4C" w:rsidRPr="00FF6F4C">
        <w:t>the data points curve upwards away from the red reference line in the upper right section of the graph</w:t>
      </w:r>
      <w:r w:rsidR="00653277">
        <w:t>, which</w:t>
      </w:r>
      <w:r w:rsidR="00FF6F4C" w:rsidRPr="00FF6F4C">
        <w:t xml:space="preserve"> is </w:t>
      </w:r>
      <w:proofErr w:type="spellStart"/>
      <w:proofErr w:type="gramStart"/>
      <w:r w:rsidR="00FF6F4C" w:rsidRPr="00FF6F4C">
        <w:t>a</w:t>
      </w:r>
      <w:proofErr w:type="spellEnd"/>
      <w:proofErr w:type="gramEnd"/>
      <w:r w:rsidR="00FF6F4C" w:rsidRPr="00FF6F4C">
        <w:t xml:space="preserve"> indicator of a ​right-skewed distribution​</w:t>
      </w:r>
      <w:r w:rsidR="00FF6F4C">
        <w:t>.</w:t>
      </w:r>
      <w:r w:rsidR="005C3EDD">
        <w:t xml:space="preserve"> </w:t>
      </w:r>
      <w:r w:rsidR="005C3EDD" w:rsidRPr="005C3EDD">
        <w:t xml:space="preserve">It </w:t>
      </w:r>
      <w:r w:rsidR="005C3EDD">
        <w:t>mean</w:t>
      </w:r>
      <w:r w:rsidR="005C3EDD" w:rsidRPr="005C3EDD">
        <w:t>s that the largest refusal rates</w:t>
      </w:r>
      <w:r w:rsidR="005C3EDD">
        <w:t xml:space="preserve"> </w:t>
      </w:r>
      <w:r w:rsidR="005C3EDD" w:rsidRPr="005C3EDD">
        <w:t>are more extreme than would be expected if the data were normally distributed</w:t>
      </w:r>
      <w:r w:rsidR="001524E2">
        <w:t xml:space="preserve">, and these outliers </w:t>
      </w:r>
      <w:r w:rsidR="000C258E">
        <w:t>drive a deviation from normality</w:t>
      </w:r>
      <w:r w:rsidR="00BF4C16">
        <w:t xml:space="preserve"> and pull the mean value to the </w:t>
      </w:r>
      <w:r w:rsidR="00245F02">
        <w:t>right of the median.</w:t>
      </w:r>
    </w:p>
    <w:p w14:paraId="61B51490" w14:textId="77777777" w:rsidR="006B6C40" w:rsidRDefault="006B6C40" w:rsidP="00EB5609">
      <w:pPr>
        <w:spacing w:line="360" w:lineRule="auto"/>
      </w:pPr>
    </w:p>
    <w:p w14:paraId="67AAFEE3" w14:textId="77777777" w:rsidR="006B6C40" w:rsidRDefault="006B6C40" w:rsidP="00EB5609">
      <w:pPr>
        <w:spacing w:line="360" w:lineRule="auto"/>
      </w:pPr>
    </w:p>
    <w:p w14:paraId="1838EF36" w14:textId="77777777" w:rsidR="006B6C40" w:rsidRDefault="006B6C40" w:rsidP="00EB5609">
      <w:pPr>
        <w:spacing w:line="360" w:lineRule="auto"/>
      </w:pPr>
    </w:p>
    <w:p w14:paraId="6A47DDF4" w14:textId="3D63967B" w:rsidR="006B6C40" w:rsidRPr="006B6C40" w:rsidRDefault="006B6C40" w:rsidP="006B6C40">
      <w:pPr>
        <w:pStyle w:val="Caption"/>
        <w:keepNext/>
        <w:spacing w:line="360" w:lineRule="auto"/>
        <w:jc w:val="center"/>
      </w:pPr>
      <w:r>
        <w:lastRenderedPageBreak/>
        <w:t xml:space="preserve">Table </w:t>
      </w:r>
      <w:r>
        <w:rPr>
          <w:rFonts w:hint="eastAsia"/>
        </w:rPr>
        <w:t>5</w:t>
      </w:r>
      <w:r>
        <w:t xml:space="preserve"> Q-Q Plot </w:t>
      </w:r>
      <w:r w:rsidR="00806A85">
        <w:t xml:space="preserve">examples </w:t>
      </w:r>
      <w:r w:rsidR="00806A85">
        <w:rPr>
          <w:rFonts w:hint="eastAsia"/>
        </w:rPr>
        <w:t>of</w:t>
      </w:r>
      <w:r w:rsidR="00806A85">
        <w:t xml:space="preserve"> </w:t>
      </w:r>
      <w:r w:rsidR="00B0501F">
        <w:t>right and left</w:t>
      </w:r>
      <w:r w:rsidR="00296CAA">
        <w:t xml:space="preserve"> skewed data</w:t>
      </w:r>
    </w:p>
    <w:p w14:paraId="162C875E" w14:textId="7DBDF760" w:rsidR="0052492A" w:rsidRPr="00296CAA" w:rsidRDefault="00EE0B03" w:rsidP="00296CAA">
      <w:pPr>
        <w:spacing w:line="360" w:lineRule="auto"/>
        <w:jc w:val="center"/>
        <w:rPr>
          <w:rFonts w:cstheme="minorHAnsi"/>
          <w:color w:val="2A2B2E"/>
        </w:rPr>
      </w:pPr>
      <w:r w:rsidRPr="00EE0B03">
        <w:rPr>
          <w:rFonts w:cstheme="minorHAnsi"/>
          <w:noProof/>
          <w:color w:val="2A2B2E"/>
        </w:rPr>
        <w:drawing>
          <wp:inline distT="0" distB="0" distL="0" distR="0" wp14:anchorId="3B6C8436" wp14:editId="70E9AA3F">
            <wp:extent cx="5943600" cy="3173095"/>
            <wp:effectExtent l="0" t="0" r="0" b="1905"/>
            <wp:docPr id="453202925"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02925" name="图片 1" descr="图表, 折线图&#10;&#10;AI 生成的内容可能不正确。"/>
                    <pic:cNvPicPr/>
                  </pic:nvPicPr>
                  <pic:blipFill>
                    <a:blip r:embed="rId17"/>
                    <a:stretch>
                      <a:fillRect/>
                    </a:stretch>
                  </pic:blipFill>
                  <pic:spPr>
                    <a:xfrm>
                      <a:off x="0" y="0"/>
                      <a:ext cx="5943600" cy="3173095"/>
                    </a:xfrm>
                    <a:prstGeom prst="rect">
                      <a:avLst/>
                    </a:prstGeom>
                  </pic:spPr>
                </pic:pic>
              </a:graphicData>
            </a:graphic>
          </wp:inline>
        </w:drawing>
      </w:r>
    </w:p>
    <w:p w14:paraId="4E263779" w14:textId="594DBBDA" w:rsidR="008A3254" w:rsidRDefault="008A3254" w:rsidP="005C751E">
      <w:pPr>
        <w:pStyle w:val="Heading1"/>
      </w:pPr>
      <w:r>
        <w:rPr>
          <w:rFonts w:hint="eastAsia"/>
        </w:rPr>
        <w:t>Conclusion</w:t>
      </w:r>
      <w:r>
        <w:t xml:space="preserve"> </w:t>
      </w:r>
    </w:p>
    <w:p w14:paraId="6003A4AF" w14:textId="4FDA0DE9" w:rsidR="00B37069" w:rsidRDefault="00DB23A1" w:rsidP="005C751E">
      <w:pPr>
        <w:spacing w:line="360" w:lineRule="auto"/>
        <w:rPr>
          <w:rFonts w:ascii="Times New Roman" w:eastAsia="Times New Roman" w:hAnsi="Times New Roman" w:cs="Times New Roman"/>
          <w:color w:val="000000" w:themeColor="text2"/>
        </w:rPr>
      </w:pPr>
      <w:r>
        <w:rPr>
          <w:rFonts w:ascii="Times New Roman" w:eastAsia="Times New Roman" w:hAnsi="Times New Roman" w:cs="Times New Roman" w:hint="eastAsia"/>
          <w:color w:val="000000" w:themeColor="text2"/>
        </w:rPr>
        <w:t>Our</w:t>
      </w:r>
      <w:r w:rsidR="00D00650">
        <w:rPr>
          <w:rFonts w:ascii="Times New Roman" w:eastAsia="Times New Roman" w:hAnsi="Times New Roman" w:cs="Times New Roman"/>
          <w:color w:val="000000" w:themeColor="text2"/>
        </w:rPr>
        <w:t xml:space="preserve"> results </w:t>
      </w:r>
      <w:r w:rsidR="009D2DDF">
        <w:rPr>
          <w:rFonts w:ascii="Times New Roman" w:eastAsia="Times New Roman" w:hAnsi="Times New Roman" w:cs="Times New Roman"/>
          <w:color w:val="000000" w:themeColor="text2"/>
        </w:rPr>
        <w:t>reject</w:t>
      </w:r>
      <w:r w:rsidR="00D00650">
        <w:rPr>
          <w:rFonts w:ascii="Times New Roman" w:eastAsia="Times New Roman" w:hAnsi="Times New Roman" w:cs="Times New Roman"/>
          <w:color w:val="000000" w:themeColor="text2"/>
        </w:rPr>
        <w:t xml:space="preserve"> our hypothesis </w:t>
      </w:r>
      <w:r w:rsidR="0011079F">
        <w:rPr>
          <w:rFonts w:ascii="Times New Roman" w:eastAsia="Times New Roman" w:hAnsi="Times New Roman" w:cs="Times New Roman"/>
          <w:color w:val="000000" w:themeColor="text2"/>
        </w:rPr>
        <w:t xml:space="preserve">that </w:t>
      </w:r>
      <w:r w:rsidR="009D2DDF" w:rsidRPr="009D2DDF">
        <w:rPr>
          <w:rFonts w:ascii="Times New Roman" w:eastAsia="Times New Roman" w:hAnsi="Times New Roman" w:cs="Times New Roman"/>
          <w:color w:val="000000" w:themeColor="text2"/>
        </w:rPr>
        <w:t>ELA test refusal rates are normally distributed</w:t>
      </w:r>
      <w:r w:rsidR="009D2DDF">
        <w:rPr>
          <w:rFonts w:ascii="Times New Roman" w:eastAsia="Times New Roman" w:hAnsi="Times New Roman" w:cs="Times New Roman"/>
          <w:color w:val="000000" w:themeColor="text2"/>
        </w:rPr>
        <w:t xml:space="preserve">. </w:t>
      </w:r>
      <w:r w:rsidR="4085E019" w:rsidRPr="2E2C0DEA">
        <w:rPr>
          <w:rFonts w:ascii="Times New Roman" w:eastAsia="Times New Roman" w:hAnsi="Times New Roman" w:cs="Times New Roman"/>
          <w:color w:val="000000" w:themeColor="text2"/>
        </w:rPr>
        <w:t xml:space="preserve">The histogram distribution is strongly right skewed, indicating that most schools have very low refusal rates (close to 0%), this skewness contradicts the assumption of a normal distribution. </w:t>
      </w:r>
    </w:p>
    <w:p w14:paraId="7294C5D2" w14:textId="5AC9ADE4" w:rsidR="00B37069" w:rsidRPr="007B1F87" w:rsidRDefault="006E45E3" w:rsidP="005C751E">
      <w:pPr>
        <w:spacing w:line="360" w:lineRule="auto"/>
        <w:rPr>
          <w:rFonts w:ascii="Times New Roman" w:eastAsia="Times New Roman" w:hAnsi="Times New Roman" w:cs="Times New Roman"/>
          <w:color w:val="000000" w:themeColor="text2"/>
        </w:rPr>
      </w:pPr>
      <w:r>
        <w:rPr>
          <w:rFonts w:ascii="Times New Roman" w:eastAsia="Times New Roman" w:hAnsi="Times New Roman" w:cs="Times New Roman"/>
          <w:color w:val="000000" w:themeColor="text2"/>
        </w:rPr>
        <w:t xml:space="preserve">The results suggests that the vast majority of </w:t>
      </w:r>
      <w:r w:rsidR="00161A8C">
        <w:rPr>
          <w:rFonts w:ascii="Times New Roman" w:eastAsia="Times New Roman" w:hAnsi="Times New Roman" w:cs="Times New Roman"/>
          <w:color w:val="000000" w:themeColor="text2"/>
        </w:rPr>
        <w:t xml:space="preserve">public </w:t>
      </w:r>
      <w:r>
        <w:rPr>
          <w:rFonts w:ascii="Times New Roman" w:eastAsia="Times New Roman" w:hAnsi="Times New Roman" w:cs="Times New Roman"/>
          <w:color w:val="000000" w:themeColor="text2"/>
        </w:rPr>
        <w:t xml:space="preserve">schools </w:t>
      </w:r>
      <w:r w:rsidR="00161A8C">
        <w:rPr>
          <w:rFonts w:ascii="Times New Roman" w:eastAsia="Times New Roman" w:hAnsi="Times New Roman" w:cs="Times New Roman"/>
          <w:color w:val="000000" w:themeColor="text2"/>
        </w:rPr>
        <w:t xml:space="preserve">in New York </w:t>
      </w:r>
      <w:r w:rsidR="00EE6589">
        <w:rPr>
          <w:rFonts w:ascii="Times New Roman" w:eastAsia="Times New Roman" w:hAnsi="Times New Roman" w:cs="Times New Roman"/>
          <w:color w:val="000000" w:themeColor="text2"/>
        </w:rPr>
        <w:t>take the ELA test in 2023-2024</w:t>
      </w:r>
      <w:r w:rsidR="00BA5BD1">
        <w:rPr>
          <w:rFonts w:ascii="Times New Roman" w:eastAsia="Times New Roman" w:hAnsi="Times New Roman" w:cs="Times New Roman"/>
          <w:color w:val="000000" w:themeColor="text2"/>
        </w:rPr>
        <w:t>, and ELA test refusal is a rare phenomenon.</w:t>
      </w:r>
      <w:r w:rsidR="00A554AB">
        <w:rPr>
          <w:rFonts w:ascii="Times New Roman" w:eastAsia="Times New Roman" w:hAnsi="Times New Roman" w:cs="Times New Roman"/>
          <w:color w:val="000000" w:themeColor="text2"/>
        </w:rPr>
        <w:t xml:space="preserve"> However, there are still schools experiencing high refusal rates of taking ELA tests, which </w:t>
      </w:r>
      <w:r w:rsidR="00C740BF">
        <w:rPr>
          <w:rFonts w:ascii="Times New Roman" w:eastAsia="Times New Roman" w:hAnsi="Times New Roman" w:cs="Times New Roman"/>
          <w:color w:val="000000" w:themeColor="text2"/>
        </w:rPr>
        <w:t>fundamental reasons for the</w:t>
      </w:r>
      <w:r w:rsidR="00001A67">
        <w:rPr>
          <w:rFonts w:ascii="Times New Roman" w:eastAsia="Times New Roman" w:hAnsi="Times New Roman" w:cs="Times New Roman"/>
          <w:color w:val="000000" w:themeColor="text2"/>
        </w:rPr>
        <w:t>se abnormalities could be further investigated.</w:t>
      </w:r>
    </w:p>
    <w:p w14:paraId="0A42D51C" w14:textId="3716C7D4" w:rsidR="00B37069" w:rsidRDefault="00B37069" w:rsidP="005C751E">
      <w:pPr>
        <w:pStyle w:val="Heading1"/>
      </w:pPr>
      <w:r>
        <w:t>Reflection</w:t>
      </w:r>
    </w:p>
    <w:p w14:paraId="5D6E8BFA" w14:textId="29BFC16C" w:rsidR="002830AB" w:rsidRDefault="002830AB" w:rsidP="002F5263">
      <w:pPr>
        <w:spacing w:line="360" w:lineRule="auto"/>
      </w:pPr>
      <w:r>
        <w:rPr>
          <w:rFonts w:hint="eastAsia"/>
        </w:rPr>
        <w:t>Our</w:t>
      </w:r>
      <w:r>
        <w:t xml:space="preserve"> </w:t>
      </w:r>
      <w:r w:rsidR="00E630A6">
        <w:t xml:space="preserve">report did well in analyzing how the refusal rates </w:t>
      </w:r>
      <w:r w:rsidR="00B44A46">
        <w:t>are distributed,</w:t>
      </w:r>
      <w:r w:rsidR="0031120F">
        <w:t xml:space="preserve"> and we made a clear conclusion that rejects our hypothesis. We found a clear right-skew distribution</w:t>
      </w:r>
      <w:r w:rsidR="009E390E">
        <w:t xml:space="preserve"> of the refusal rates, and we used multiple statistical methods to determine and describe it; for example, histogram, boxplot and Q-Q plot. </w:t>
      </w:r>
      <w:r w:rsidR="00B5797E">
        <w:t xml:space="preserve">We infer from our conclusion that while most schools in New York agreed to take ELA tests in 2023-2024, there are still a minority that refused to do so. However, further </w:t>
      </w:r>
      <w:r w:rsidR="00A06AE8">
        <w:t>improvement</w:t>
      </w:r>
      <w:r w:rsidR="00B5797E">
        <w:t xml:space="preserve"> and </w:t>
      </w:r>
      <w:r w:rsidR="00A06AE8">
        <w:t xml:space="preserve">renovations could </w:t>
      </w:r>
      <w:r w:rsidR="00A06AE8">
        <w:lastRenderedPageBreak/>
        <w:t xml:space="preserve">be made on analyzing the reasons behind the distribution: Why the majority of schools agreed to take the test but still some refused? </w:t>
      </w:r>
      <w:r w:rsidR="008A2A39">
        <w:t xml:space="preserve">Is there deeper societal, economic or policy related reasons behind the data? </w:t>
      </w:r>
      <w:r w:rsidR="00506564">
        <w:t xml:space="preserve">Moreover, since we only focused on the test taking refusal rates of the single subject of ELA, more comprehensive investigations could be conducted regarding other subjects involved in the initial data collection process (Science and Math). </w:t>
      </w:r>
    </w:p>
    <w:p w14:paraId="19851507" w14:textId="591D93F7" w:rsidR="00506564" w:rsidRDefault="00506564" w:rsidP="002F5263">
      <w:pPr>
        <w:spacing w:line="360" w:lineRule="auto"/>
      </w:pPr>
      <w:r>
        <w:t xml:space="preserve">Regarding methodology, </w:t>
      </w:r>
      <w:r w:rsidR="000E5559">
        <w:t xml:space="preserve">although our graphical </w:t>
      </w:r>
      <w:r w:rsidR="00773039">
        <w:t xml:space="preserve">approach demonstrates a clear pattern of right-skew, </w:t>
      </w:r>
      <w:r w:rsidR="009B26FC">
        <w:t>simply judging by shape is not always reliable. M</w:t>
      </w:r>
      <w:r w:rsidR="00773039">
        <w:t xml:space="preserve">ore analytical methods </w:t>
      </w:r>
      <w:r w:rsidR="005E7082">
        <w:t xml:space="preserve">other than Q-Q plot, </w:t>
      </w:r>
      <w:r w:rsidR="009B26FC">
        <w:t xml:space="preserve">like </w:t>
      </w:r>
      <w:r w:rsidR="0051785D">
        <w:t xml:space="preserve">the </w:t>
      </w:r>
      <w:r w:rsidR="000428E8" w:rsidRPr="000428E8">
        <w:t>Kolmogorov–Smirnov test</w:t>
      </w:r>
      <w:r w:rsidR="005E7082">
        <w:t>,</w:t>
      </w:r>
      <w:r w:rsidR="0051785D">
        <w:t xml:space="preserve"> could</w:t>
      </w:r>
      <w:r w:rsidR="00773039">
        <w:t xml:space="preserve"> be utilized to further validate our results. </w:t>
      </w:r>
    </w:p>
    <w:p w14:paraId="63B5FB02" w14:textId="77777777" w:rsidR="004D27D6" w:rsidRDefault="004D27D6" w:rsidP="00BF1F6A">
      <w:pPr>
        <w:pStyle w:val="Heading1"/>
      </w:pPr>
    </w:p>
    <w:p w14:paraId="4D7BF94D" w14:textId="77777777" w:rsidR="004D27D6" w:rsidRDefault="004D27D6" w:rsidP="00BF1F6A">
      <w:pPr>
        <w:pStyle w:val="Heading1"/>
      </w:pPr>
    </w:p>
    <w:p w14:paraId="4E7CD22A" w14:textId="77777777" w:rsidR="00551492" w:rsidRDefault="00551492">
      <w:pPr>
        <w:rPr>
          <w:rFonts w:asciiTheme="majorHAnsi" w:eastAsiaTheme="majorEastAsia" w:hAnsiTheme="majorHAnsi" w:cstheme="majorBidi"/>
          <w:b/>
          <w:bCs/>
          <w:i/>
          <w:iCs/>
          <w:sz w:val="32"/>
          <w:szCs w:val="32"/>
        </w:rPr>
      </w:pPr>
      <w:r>
        <w:br w:type="page"/>
      </w:r>
    </w:p>
    <w:p w14:paraId="01AB9115" w14:textId="2EECD38F" w:rsidR="00BF1F6A" w:rsidRDefault="00BF1F6A" w:rsidP="00BF1F6A">
      <w:pPr>
        <w:pStyle w:val="Heading1"/>
      </w:pPr>
      <w:r>
        <w:lastRenderedPageBreak/>
        <w:t>Citation</w:t>
      </w:r>
    </w:p>
    <w:p w14:paraId="133A49CF" w14:textId="77777777" w:rsidR="00BF1F6A" w:rsidRDefault="00BF1F6A" w:rsidP="00BF1F6A">
      <w:pPr>
        <w:pStyle w:val="NormalWeb"/>
        <w:spacing w:before="0" w:beforeAutospacing="0" w:after="0" w:afterAutospacing="0" w:line="480" w:lineRule="auto"/>
        <w:ind w:left="720" w:hanging="720"/>
      </w:pPr>
      <w:r>
        <w:t xml:space="preserve">Roberts, D. R. a. F. (n.d.). </w:t>
      </w:r>
      <w:r>
        <w:rPr>
          <w:i/>
          <w:iCs/>
        </w:rPr>
        <w:t>Normal Distribution - MathBitsNotebook(A2)</w:t>
      </w:r>
      <w:r>
        <w:t xml:space="preserve">. MathBits.com (MathBitsNotebook.com) - Fred and Donna Roberts. </w:t>
      </w:r>
      <w:r>
        <w:rPr>
          <w:rStyle w:val="url"/>
          <w:rFonts w:eastAsiaTheme="majorEastAsia"/>
        </w:rPr>
        <w:t>https://mathbitsnotebook.com/Algebra2/Statistics/STnormalDistribution.html</w:t>
      </w:r>
    </w:p>
    <w:p w14:paraId="6988EE42" w14:textId="77777777" w:rsidR="004D27D6" w:rsidRDefault="004D27D6" w:rsidP="004D27D6">
      <w:pPr>
        <w:pStyle w:val="NormalWeb"/>
        <w:spacing w:before="0" w:beforeAutospacing="0" w:after="0" w:afterAutospacing="0" w:line="480" w:lineRule="auto"/>
        <w:ind w:left="720" w:hanging="720"/>
      </w:pPr>
      <w:r>
        <w:t xml:space="preserve">Mishra, P., Pandey, C. M., Singh, U., Gupta, A., Sahu, C., &amp; Keshri, A. (2019). Descriptive statistics and normality tests for statistical data. </w:t>
      </w:r>
      <w:r>
        <w:rPr>
          <w:i/>
          <w:iCs/>
        </w:rPr>
        <w:t>Annals of Cardiac Anaesthesia</w:t>
      </w:r>
      <w:r>
        <w:t xml:space="preserve">, </w:t>
      </w:r>
      <w:r>
        <w:rPr>
          <w:i/>
          <w:iCs/>
        </w:rPr>
        <w:t>22</w:t>
      </w:r>
      <w:r>
        <w:t xml:space="preserve">(1), 67. </w:t>
      </w:r>
      <w:r>
        <w:rPr>
          <w:rStyle w:val="url"/>
          <w:rFonts w:eastAsiaTheme="majorEastAsia"/>
        </w:rPr>
        <w:t>https://doi.org/10.4103/aca.aca_157_18</w:t>
      </w:r>
    </w:p>
    <w:p w14:paraId="7B2E5543" w14:textId="77777777" w:rsidR="00BF1F6A" w:rsidRPr="004D27D6" w:rsidRDefault="00BF1F6A" w:rsidP="004D27D6">
      <w:pPr>
        <w:ind w:firstLine="0"/>
      </w:pPr>
    </w:p>
    <w:p w14:paraId="5BD292E2" w14:textId="77777777" w:rsidR="00B37069" w:rsidRPr="00B37069" w:rsidRDefault="00B37069" w:rsidP="005C751E">
      <w:pPr>
        <w:spacing w:line="360" w:lineRule="auto"/>
      </w:pPr>
    </w:p>
    <w:p w14:paraId="69FEED06" w14:textId="5F35F066" w:rsidR="00CA0AC2" w:rsidRPr="00CA0AC2" w:rsidRDefault="00CA0AC2" w:rsidP="005C751E">
      <w:pPr>
        <w:spacing w:line="360" w:lineRule="auto"/>
        <w:ind w:firstLine="0"/>
      </w:pPr>
    </w:p>
    <w:p w14:paraId="1E05485D" w14:textId="77777777" w:rsidR="00CA0AC2" w:rsidRPr="00CA0AC2" w:rsidRDefault="00CA0AC2" w:rsidP="005C751E">
      <w:pPr>
        <w:spacing w:line="360" w:lineRule="auto"/>
      </w:pPr>
    </w:p>
    <w:p w14:paraId="2C775514" w14:textId="77777777" w:rsidR="006600D7" w:rsidRPr="000D0133" w:rsidRDefault="006600D7" w:rsidP="005C751E">
      <w:pPr>
        <w:spacing w:line="360" w:lineRule="auto"/>
        <w:rPr>
          <w:rFonts w:ascii="Times New Roman" w:hAnsi="Times New Roman" w:cs="Times New Roman"/>
        </w:rPr>
      </w:pPr>
    </w:p>
    <w:p w14:paraId="57AE28BE" w14:textId="3A4E46C4" w:rsidR="000D0133" w:rsidRPr="004E4093" w:rsidRDefault="000D0133" w:rsidP="005C751E">
      <w:pPr>
        <w:spacing w:line="360" w:lineRule="auto"/>
        <w:rPr>
          <w:rFonts w:ascii="Times New Roman" w:hAnsi="Times New Roman" w:cs="Times New Roman"/>
        </w:rPr>
      </w:pPr>
    </w:p>
    <w:sectPr w:rsidR="000D0133" w:rsidRPr="004E409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uhong Luo (Yuhong)" w:date="2025-10-09T10:04:00Z" w:initials="YL(">
    <w:p w14:paraId="6CC02169" w14:textId="77777777" w:rsidR="00776067" w:rsidRDefault="00776067" w:rsidP="00776067">
      <w:r>
        <w:rPr>
          <w:rStyle w:val="CommentReference"/>
        </w:rPr>
        <w:annotationRef/>
      </w:r>
      <w:r>
        <w:rPr>
          <w:sz w:val="20"/>
          <w:szCs w:val="20"/>
        </w:rPr>
        <w:t>numerical</w:t>
      </w:r>
      <w:r>
        <w:rPr>
          <w:rFonts w:hint="eastAsia"/>
          <w:sz w:val="20"/>
          <w:szCs w:val="20"/>
        </w:rPr>
        <w:t>表</w:t>
      </w:r>
    </w:p>
    <w:p w14:paraId="55115114" w14:textId="77777777" w:rsidR="00776067" w:rsidRDefault="00776067" w:rsidP="00776067"/>
  </w:comment>
  <w:comment w:id="1" w:author="Yuhong Luo (Yuhong)" w:date="2025-10-09T10:04:00Z" w:initials="YL(">
    <w:p w14:paraId="1A535E35" w14:textId="77777777" w:rsidR="00776067" w:rsidRDefault="00776067" w:rsidP="00776067">
      <w:r>
        <w:rPr>
          <w:rStyle w:val="CommentReference"/>
        </w:rPr>
        <w:annotationRef/>
      </w:r>
      <w:r>
        <w:rPr>
          <w:rFonts w:hint="eastAsia"/>
          <w:sz w:val="20"/>
          <w:szCs w:val="20"/>
        </w:rPr>
        <w:t>太多套话</w:t>
      </w:r>
    </w:p>
  </w:comment>
  <w:comment w:id="2" w:author="Yuhong Luo (Yuhong)" w:date="2025-10-09T10:05:00Z" w:initials="YL(">
    <w:p w14:paraId="28A32987" w14:textId="77777777" w:rsidR="00776067" w:rsidRDefault="00776067" w:rsidP="00776067">
      <w:r>
        <w:rPr>
          <w:rStyle w:val="CommentReference"/>
        </w:rPr>
        <w:annotationRef/>
      </w:r>
      <w:r>
        <w:rPr>
          <w:rFonts w:hint="eastAsia"/>
          <w:sz w:val="20"/>
          <w:szCs w:val="20"/>
        </w:rPr>
        <w:t>图不能连在一起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115114" w15:done="1"/>
  <w15:commentEx w15:paraId="1A535E35" w15:done="1"/>
  <w15:commentEx w15:paraId="28A3298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C93B81" w16cex:dateUtc="2025-10-09T02:04:00Z"/>
  <w16cex:commentExtensible w16cex:durableId="6914B1B7" w16cex:dateUtc="2025-10-09T02:04:00Z"/>
  <w16cex:commentExtensible w16cex:durableId="65A73C0F" w16cex:dateUtc="2025-10-09T0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115114" w16cid:durableId="2DC93B81"/>
  <w16cid:commentId w16cid:paraId="1A535E35" w16cid:durableId="6914B1B7"/>
  <w16cid:commentId w16cid:paraId="28A32987" w16cid:durableId="65A73C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AEE66" w14:textId="77777777" w:rsidR="009437BC" w:rsidRDefault="009437BC" w:rsidP="00883033">
      <w:pPr>
        <w:spacing w:after="0" w:line="240" w:lineRule="auto"/>
      </w:pPr>
      <w:r>
        <w:separator/>
      </w:r>
    </w:p>
  </w:endnote>
  <w:endnote w:type="continuationSeparator" w:id="0">
    <w:p w14:paraId="1AA9B4FD" w14:textId="77777777" w:rsidR="009437BC" w:rsidRDefault="009437BC" w:rsidP="00883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C9810" w14:textId="77777777" w:rsidR="009437BC" w:rsidRDefault="009437BC" w:rsidP="00883033">
      <w:pPr>
        <w:spacing w:after="0" w:line="240" w:lineRule="auto"/>
      </w:pPr>
      <w:r>
        <w:separator/>
      </w:r>
    </w:p>
  </w:footnote>
  <w:footnote w:type="continuationSeparator" w:id="0">
    <w:p w14:paraId="0520A7A2" w14:textId="77777777" w:rsidR="009437BC" w:rsidRDefault="009437BC" w:rsidP="008830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89E"/>
    <w:multiLevelType w:val="hybridMultilevel"/>
    <w:tmpl w:val="6EE25AF8"/>
    <w:lvl w:ilvl="0" w:tplc="24BC911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CEA73FC"/>
    <w:multiLevelType w:val="hybridMultilevel"/>
    <w:tmpl w:val="F9C0BD50"/>
    <w:lvl w:ilvl="0" w:tplc="4E162822">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466094127">
    <w:abstractNumId w:val="0"/>
  </w:num>
  <w:num w:numId="2" w16cid:durableId="2503537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hong Luo (Yuhong)">
    <w15:presenceInfo w15:providerId="AD" w15:userId="S::20230827046@hd.kaiwenacademy.cn::76d82a95-f985-4de2-96b7-f8a86097a1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093"/>
    <w:rsid w:val="00001A67"/>
    <w:rsid w:val="00010513"/>
    <w:rsid w:val="00014657"/>
    <w:rsid w:val="00021F68"/>
    <w:rsid w:val="00022BD4"/>
    <w:rsid w:val="00023BC4"/>
    <w:rsid w:val="000312B0"/>
    <w:rsid w:val="00033542"/>
    <w:rsid w:val="000362B5"/>
    <w:rsid w:val="0004122A"/>
    <w:rsid w:val="0004167B"/>
    <w:rsid w:val="000428E8"/>
    <w:rsid w:val="000432FA"/>
    <w:rsid w:val="000478B0"/>
    <w:rsid w:val="00050AC2"/>
    <w:rsid w:val="00056AB1"/>
    <w:rsid w:val="00062D8E"/>
    <w:rsid w:val="0006415E"/>
    <w:rsid w:val="000672D3"/>
    <w:rsid w:val="00073CD8"/>
    <w:rsid w:val="000752ED"/>
    <w:rsid w:val="00083EBD"/>
    <w:rsid w:val="0008482A"/>
    <w:rsid w:val="00084854"/>
    <w:rsid w:val="00085E31"/>
    <w:rsid w:val="00093A45"/>
    <w:rsid w:val="000A072B"/>
    <w:rsid w:val="000A131D"/>
    <w:rsid w:val="000A2ED5"/>
    <w:rsid w:val="000B1EF2"/>
    <w:rsid w:val="000B37C7"/>
    <w:rsid w:val="000B3CA5"/>
    <w:rsid w:val="000B4029"/>
    <w:rsid w:val="000C258E"/>
    <w:rsid w:val="000C586C"/>
    <w:rsid w:val="000C68A6"/>
    <w:rsid w:val="000D0133"/>
    <w:rsid w:val="000D4594"/>
    <w:rsid w:val="000D5EF6"/>
    <w:rsid w:val="000E5559"/>
    <w:rsid w:val="000E6CEE"/>
    <w:rsid w:val="000F1113"/>
    <w:rsid w:val="000F590A"/>
    <w:rsid w:val="000F7004"/>
    <w:rsid w:val="00100F92"/>
    <w:rsid w:val="00102B7E"/>
    <w:rsid w:val="0010300A"/>
    <w:rsid w:val="001036CB"/>
    <w:rsid w:val="001079A9"/>
    <w:rsid w:val="0011079F"/>
    <w:rsid w:val="00110926"/>
    <w:rsid w:val="00111A25"/>
    <w:rsid w:val="0011225B"/>
    <w:rsid w:val="001210DC"/>
    <w:rsid w:val="00123B7E"/>
    <w:rsid w:val="00124191"/>
    <w:rsid w:val="00125764"/>
    <w:rsid w:val="001269AF"/>
    <w:rsid w:val="001366E7"/>
    <w:rsid w:val="00141729"/>
    <w:rsid w:val="001436FC"/>
    <w:rsid w:val="001445B8"/>
    <w:rsid w:val="001524E2"/>
    <w:rsid w:val="00152B37"/>
    <w:rsid w:val="00157014"/>
    <w:rsid w:val="00161A8C"/>
    <w:rsid w:val="001640C0"/>
    <w:rsid w:val="00166C6F"/>
    <w:rsid w:val="00172257"/>
    <w:rsid w:val="00180136"/>
    <w:rsid w:val="00181466"/>
    <w:rsid w:val="0018398A"/>
    <w:rsid w:val="0018432A"/>
    <w:rsid w:val="00187B53"/>
    <w:rsid w:val="00190347"/>
    <w:rsid w:val="00194C97"/>
    <w:rsid w:val="0019714D"/>
    <w:rsid w:val="001A261D"/>
    <w:rsid w:val="001A2BB6"/>
    <w:rsid w:val="001A51C0"/>
    <w:rsid w:val="001A6F17"/>
    <w:rsid w:val="001A7539"/>
    <w:rsid w:val="001B1715"/>
    <w:rsid w:val="001B1792"/>
    <w:rsid w:val="001B498E"/>
    <w:rsid w:val="001B72C9"/>
    <w:rsid w:val="001C0CA9"/>
    <w:rsid w:val="001C4E82"/>
    <w:rsid w:val="001D7C1C"/>
    <w:rsid w:val="001D7E60"/>
    <w:rsid w:val="001E3C64"/>
    <w:rsid w:val="001E5395"/>
    <w:rsid w:val="001F4F5E"/>
    <w:rsid w:val="00200416"/>
    <w:rsid w:val="00201515"/>
    <w:rsid w:val="00205F97"/>
    <w:rsid w:val="00206086"/>
    <w:rsid w:val="0020669D"/>
    <w:rsid w:val="0020751E"/>
    <w:rsid w:val="00207D44"/>
    <w:rsid w:val="00236796"/>
    <w:rsid w:val="00240698"/>
    <w:rsid w:val="00244191"/>
    <w:rsid w:val="00245F02"/>
    <w:rsid w:val="002531E3"/>
    <w:rsid w:val="00253689"/>
    <w:rsid w:val="0025583E"/>
    <w:rsid w:val="00257C55"/>
    <w:rsid w:val="00263E56"/>
    <w:rsid w:val="0026510F"/>
    <w:rsid w:val="00270E53"/>
    <w:rsid w:val="0027293B"/>
    <w:rsid w:val="002743A4"/>
    <w:rsid w:val="0027506A"/>
    <w:rsid w:val="002830AB"/>
    <w:rsid w:val="002831DF"/>
    <w:rsid w:val="00283B6E"/>
    <w:rsid w:val="00283FB0"/>
    <w:rsid w:val="00284D44"/>
    <w:rsid w:val="002900D5"/>
    <w:rsid w:val="00293D1A"/>
    <w:rsid w:val="0029428A"/>
    <w:rsid w:val="00296CAA"/>
    <w:rsid w:val="002975AD"/>
    <w:rsid w:val="002975BC"/>
    <w:rsid w:val="002A25C8"/>
    <w:rsid w:val="002A38E1"/>
    <w:rsid w:val="002A43B4"/>
    <w:rsid w:val="002A4598"/>
    <w:rsid w:val="002A5CBB"/>
    <w:rsid w:val="002B02DA"/>
    <w:rsid w:val="002B07D7"/>
    <w:rsid w:val="002B4B30"/>
    <w:rsid w:val="002B53F5"/>
    <w:rsid w:val="002B5AB4"/>
    <w:rsid w:val="002B723C"/>
    <w:rsid w:val="002C0159"/>
    <w:rsid w:val="002C67FE"/>
    <w:rsid w:val="002D07DC"/>
    <w:rsid w:val="002E17C2"/>
    <w:rsid w:val="002E1B67"/>
    <w:rsid w:val="002E281F"/>
    <w:rsid w:val="002E4816"/>
    <w:rsid w:val="002E77FE"/>
    <w:rsid w:val="002F5263"/>
    <w:rsid w:val="002F7728"/>
    <w:rsid w:val="002F7EFF"/>
    <w:rsid w:val="003017B3"/>
    <w:rsid w:val="00301CFB"/>
    <w:rsid w:val="00303EFC"/>
    <w:rsid w:val="00305268"/>
    <w:rsid w:val="00305860"/>
    <w:rsid w:val="00310EEA"/>
    <w:rsid w:val="0031120F"/>
    <w:rsid w:val="00316196"/>
    <w:rsid w:val="0031701F"/>
    <w:rsid w:val="00317536"/>
    <w:rsid w:val="00325630"/>
    <w:rsid w:val="00326747"/>
    <w:rsid w:val="003325BE"/>
    <w:rsid w:val="003354A4"/>
    <w:rsid w:val="003365A4"/>
    <w:rsid w:val="0034192A"/>
    <w:rsid w:val="00341D56"/>
    <w:rsid w:val="003503A1"/>
    <w:rsid w:val="0035063A"/>
    <w:rsid w:val="00353D95"/>
    <w:rsid w:val="00355C77"/>
    <w:rsid w:val="0036008C"/>
    <w:rsid w:val="0036164E"/>
    <w:rsid w:val="00362214"/>
    <w:rsid w:val="0036580B"/>
    <w:rsid w:val="00367FCF"/>
    <w:rsid w:val="00372286"/>
    <w:rsid w:val="0037377D"/>
    <w:rsid w:val="003778E0"/>
    <w:rsid w:val="003869B8"/>
    <w:rsid w:val="00393324"/>
    <w:rsid w:val="00394110"/>
    <w:rsid w:val="00394D92"/>
    <w:rsid w:val="00395FDF"/>
    <w:rsid w:val="003A1EC1"/>
    <w:rsid w:val="003A233C"/>
    <w:rsid w:val="003A5DA0"/>
    <w:rsid w:val="003A70C6"/>
    <w:rsid w:val="003B0CB8"/>
    <w:rsid w:val="003B3109"/>
    <w:rsid w:val="003B3AAB"/>
    <w:rsid w:val="003B6DEB"/>
    <w:rsid w:val="003C5A2D"/>
    <w:rsid w:val="003C678B"/>
    <w:rsid w:val="003E33A0"/>
    <w:rsid w:val="003E4DCD"/>
    <w:rsid w:val="003E52FB"/>
    <w:rsid w:val="003E724C"/>
    <w:rsid w:val="003F00B9"/>
    <w:rsid w:val="003F2A23"/>
    <w:rsid w:val="003F54F5"/>
    <w:rsid w:val="003F55C2"/>
    <w:rsid w:val="003F7F9D"/>
    <w:rsid w:val="0040416B"/>
    <w:rsid w:val="004111AE"/>
    <w:rsid w:val="00414590"/>
    <w:rsid w:val="00420161"/>
    <w:rsid w:val="004211E9"/>
    <w:rsid w:val="0042216D"/>
    <w:rsid w:val="00423313"/>
    <w:rsid w:val="00424501"/>
    <w:rsid w:val="00426C69"/>
    <w:rsid w:val="004270F0"/>
    <w:rsid w:val="0043247F"/>
    <w:rsid w:val="00435F67"/>
    <w:rsid w:val="00436028"/>
    <w:rsid w:val="004371F8"/>
    <w:rsid w:val="00440232"/>
    <w:rsid w:val="00442216"/>
    <w:rsid w:val="00442591"/>
    <w:rsid w:val="00442D5B"/>
    <w:rsid w:val="00450BA5"/>
    <w:rsid w:val="0045206D"/>
    <w:rsid w:val="00457BD2"/>
    <w:rsid w:val="004668BD"/>
    <w:rsid w:val="00470236"/>
    <w:rsid w:val="004712D7"/>
    <w:rsid w:val="00471BCC"/>
    <w:rsid w:val="00471F7B"/>
    <w:rsid w:val="004720A5"/>
    <w:rsid w:val="00474F01"/>
    <w:rsid w:val="00481F0C"/>
    <w:rsid w:val="004834A0"/>
    <w:rsid w:val="00491CA7"/>
    <w:rsid w:val="00495537"/>
    <w:rsid w:val="004A0A17"/>
    <w:rsid w:val="004A2E87"/>
    <w:rsid w:val="004A59F7"/>
    <w:rsid w:val="004A6F59"/>
    <w:rsid w:val="004A77E3"/>
    <w:rsid w:val="004B2E68"/>
    <w:rsid w:val="004B3673"/>
    <w:rsid w:val="004C0710"/>
    <w:rsid w:val="004C495D"/>
    <w:rsid w:val="004C4C52"/>
    <w:rsid w:val="004C7895"/>
    <w:rsid w:val="004C7BA3"/>
    <w:rsid w:val="004D1F85"/>
    <w:rsid w:val="004D27D6"/>
    <w:rsid w:val="004D7EDB"/>
    <w:rsid w:val="004E06B5"/>
    <w:rsid w:val="004E09C6"/>
    <w:rsid w:val="004E1DB0"/>
    <w:rsid w:val="004E253B"/>
    <w:rsid w:val="004E2764"/>
    <w:rsid w:val="004E4093"/>
    <w:rsid w:val="004E5BB8"/>
    <w:rsid w:val="004E779F"/>
    <w:rsid w:val="004E7A0F"/>
    <w:rsid w:val="004F2E7E"/>
    <w:rsid w:val="004F43DE"/>
    <w:rsid w:val="00505C62"/>
    <w:rsid w:val="00506564"/>
    <w:rsid w:val="0050736F"/>
    <w:rsid w:val="005112BA"/>
    <w:rsid w:val="00513FE3"/>
    <w:rsid w:val="00515DDC"/>
    <w:rsid w:val="0051785D"/>
    <w:rsid w:val="005217D9"/>
    <w:rsid w:val="00521E5D"/>
    <w:rsid w:val="00522C6A"/>
    <w:rsid w:val="0052319C"/>
    <w:rsid w:val="0052492A"/>
    <w:rsid w:val="00525352"/>
    <w:rsid w:val="00526A09"/>
    <w:rsid w:val="0053221A"/>
    <w:rsid w:val="0054029A"/>
    <w:rsid w:val="00540D03"/>
    <w:rsid w:val="00543D5D"/>
    <w:rsid w:val="00544249"/>
    <w:rsid w:val="00544551"/>
    <w:rsid w:val="00546E1D"/>
    <w:rsid w:val="00550A66"/>
    <w:rsid w:val="00551492"/>
    <w:rsid w:val="00553AA7"/>
    <w:rsid w:val="0055571C"/>
    <w:rsid w:val="00561891"/>
    <w:rsid w:val="005625E6"/>
    <w:rsid w:val="005649E4"/>
    <w:rsid w:val="005652E9"/>
    <w:rsid w:val="005670CF"/>
    <w:rsid w:val="00567958"/>
    <w:rsid w:val="005709BB"/>
    <w:rsid w:val="00571433"/>
    <w:rsid w:val="00571D32"/>
    <w:rsid w:val="005728B9"/>
    <w:rsid w:val="00573E34"/>
    <w:rsid w:val="005740E4"/>
    <w:rsid w:val="00576CFE"/>
    <w:rsid w:val="0058023A"/>
    <w:rsid w:val="00584C66"/>
    <w:rsid w:val="00585848"/>
    <w:rsid w:val="0059021E"/>
    <w:rsid w:val="00595CBC"/>
    <w:rsid w:val="00595D21"/>
    <w:rsid w:val="005969C9"/>
    <w:rsid w:val="005A0688"/>
    <w:rsid w:val="005A242B"/>
    <w:rsid w:val="005A3F96"/>
    <w:rsid w:val="005A4668"/>
    <w:rsid w:val="005A60AE"/>
    <w:rsid w:val="005A6ADC"/>
    <w:rsid w:val="005A6B6B"/>
    <w:rsid w:val="005B6820"/>
    <w:rsid w:val="005C3007"/>
    <w:rsid w:val="005C311D"/>
    <w:rsid w:val="005C3EDD"/>
    <w:rsid w:val="005C751E"/>
    <w:rsid w:val="005D4FB1"/>
    <w:rsid w:val="005D59E9"/>
    <w:rsid w:val="005E2A81"/>
    <w:rsid w:val="005E3F4D"/>
    <w:rsid w:val="005E7082"/>
    <w:rsid w:val="00600404"/>
    <w:rsid w:val="00600ACD"/>
    <w:rsid w:val="00600BD9"/>
    <w:rsid w:val="00601A1C"/>
    <w:rsid w:val="00607F3C"/>
    <w:rsid w:val="00610F8B"/>
    <w:rsid w:val="00612D96"/>
    <w:rsid w:val="00617D76"/>
    <w:rsid w:val="006219F7"/>
    <w:rsid w:val="00622A69"/>
    <w:rsid w:val="0062483E"/>
    <w:rsid w:val="006259F2"/>
    <w:rsid w:val="0063130A"/>
    <w:rsid w:val="00635C4A"/>
    <w:rsid w:val="00640B9C"/>
    <w:rsid w:val="006432F7"/>
    <w:rsid w:val="00645E1C"/>
    <w:rsid w:val="00645EF3"/>
    <w:rsid w:val="00647D6E"/>
    <w:rsid w:val="00650694"/>
    <w:rsid w:val="00653277"/>
    <w:rsid w:val="00653503"/>
    <w:rsid w:val="00653F01"/>
    <w:rsid w:val="00656CC4"/>
    <w:rsid w:val="00657205"/>
    <w:rsid w:val="006600D7"/>
    <w:rsid w:val="006605D3"/>
    <w:rsid w:val="006625CD"/>
    <w:rsid w:val="006627E6"/>
    <w:rsid w:val="00662CB7"/>
    <w:rsid w:val="00667686"/>
    <w:rsid w:val="00673112"/>
    <w:rsid w:val="0067596E"/>
    <w:rsid w:val="0067786A"/>
    <w:rsid w:val="006807DC"/>
    <w:rsid w:val="00682AE3"/>
    <w:rsid w:val="006A6129"/>
    <w:rsid w:val="006A612F"/>
    <w:rsid w:val="006A6A87"/>
    <w:rsid w:val="006B0561"/>
    <w:rsid w:val="006B3169"/>
    <w:rsid w:val="006B46F7"/>
    <w:rsid w:val="006B6C40"/>
    <w:rsid w:val="006B7B54"/>
    <w:rsid w:val="006C2CAC"/>
    <w:rsid w:val="006C3B02"/>
    <w:rsid w:val="006C46E8"/>
    <w:rsid w:val="006C69C6"/>
    <w:rsid w:val="006C6FD8"/>
    <w:rsid w:val="006E2204"/>
    <w:rsid w:val="006E3BF7"/>
    <w:rsid w:val="006E45E3"/>
    <w:rsid w:val="006E54F5"/>
    <w:rsid w:val="006E618A"/>
    <w:rsid w:val="006F34B0"/>
    <w:rsid w:val="006F5B2C"/>
    <w:rsid w:val="006F5E27"/>
    <w:rsid w:val="00702D83"/>
    <w:rsid w:val="00704185"/>
    <w:rsid w:val="00711904"/>
    <w:rsid w:val="00712143"/>
    <w:rsid w:val="007200A1"/>
    <w:rsid w:val="007201C7"/>
    <w:rsid w:val="0072247C"/>
    <w:rsid w:val="0072276E"/>
    <w:rsid w:val="007309F1"/>
    <w:rsid w:val="00732D03"/>
    <w:rsid w:val="00735DE5"/>
    <w:rsid w:val="007379A1"/>
    <w:rsid w:val="00737FA4"/>
    <w:rsid w:val="007403EF"/>
    <w:rsid w:val="007405DF"/>
    <w:rsid w:val="00744697"/>
    <w:rsid w:val="007466E1"/>
    <w:rsid w:val="00746C97"/>
    <w:rsid w:val="00747CA7"/>
    <w:rsid w:val="00754075"/>
    <w:rsid w:val="007639F5"/>
    <w:rsid w:val="007671E2"/>
    <w:rsid w:val="007724F2"/>
    <w:rsid w:val="00773039"/>
    <w:rsid w:val="00774DAA"/>
    <w:rsid w:val="00776067"/>
    <w:rsid w:val="007776C4"/>
    <w:rsid w:val="0078473F"/>
    <w:rsid w:val="00784E9A"/>
    <w:rsid w:val="00786218"/>
    <w:rsid w:val="00791937"/>
    <w:rsid w:val="007A0DDF"/>
    <w:rsid w:val="007A183B"/>
    <w:rsid w:val="007A304D"/>
    <w:rsid w:val="007A53A9"/>
    <w:rsid w:val="007A6756"/>
    <w:rsid w:val="007B0FAA"/>
    <w:rsid w:val="007B1F87"/>
    <w:rsid w:val="007B33D2"/>
    <w:rsid w:val="007B45EE"/>
    <w:rsid w:val="007C0386"/>
    <w:rsid w:val="007C3FCC"/>
    <w:rsid w:val="007C4C2B"/>
    <w:rsid w:val="007C4E3D"/>
    <w:rsid w:val="007C60F8"/>
    <w:rsid w:val="007D2C8C"/>
    <w:rsid w:val="007E2D33"/>
    <w:rsid w:val="007E3C53"/>
    <w:rsid w:val="007F3016"/>
    <w:rsid w:val="007F65CD"/>
    <w:rsid w:val="00806787"/>
    <w:rsid w:val="008069A4"/>
    <w:rsid w:val="00806A85"/>
    <w:rsid w:val="00813CD3"/>
    <w:rsid w:val="00814544"/>
    <w:rsid w:val="00814FC4"/>
    <w:rsid w:val="00815BF7"/>
    <w:rsid w:val="0081704F"/>
    <w:rsid w:val="00822DDE"/>
    <w:rsid w:val="0082513D"/>
    <w:rsid w:val="008354CE"/>
    <w:rsid w:val="008410C3"/>
    <w:rsid w:val="00841FB3"/>
    <w:rsid w:val="00842CDE"/>
    <w:rsid w:val="00842D31"/>
    <w:rsid w:val="00844369"/>
    <w:rsid w:val="00844830"/>
    <w:rsid w:val="00846065"/>
    <w:rsid w:val="0085728C"/>
    <w:rsid w:val="00860F1F"/>
    <w:rsid w:val="008636DC"/>
    <w:rsid w:val="008724C4"/>
    <w:rsid w:val="0087468E"/>
    <w:rsid w:val="00877135"/>
    <w:rsid w:val="00881360"/>
    <w:rsid w:val="00883033"/>
    <w:rsid w:val="00886C16"/>
    <w:rsid w:val="00891DF6"/>
    <w:rsid w:val="00892ACE"/>
    <w:rsid w:val="008A07C9"/>
    <w:rsid w:val="008A186A"/>
    <w:rsid w:val="008A2A39"/>
    <w:rsid w:val="008A3254"/>
    <w:rsid w:val="008A4062"/>
    <w:rsid w:val="008B1DC9"/>
    <w:rsid w:val="008B7242"/>
    <w:rsid w:val="008C0593"/>
    <w:rsid w:val="008C25AD"/>
    <w:rsid w:val="008C7A81"/>
    <w:rsid w:val="008D2230"/>
    <w:rsid w:val="008D27EC"/>
    <w:rsid w:val="008D718B"/>
    <w:rsid w:val="008E15A7"/>
    <w:rsid w:val="008E417B"/>
    <w:rsid w:val="008F09D4"/>
    <w:rsid w:val="00900347"/>
    <w:rsid w:val="00900A10"/>
    <w:rsid w:val="00901D6C"/>
    <w:rsid w:val="00903094"/>
    <w:rsid w:val="009069D2"/>
    <w:rsid w:val="009106FD"/>
    <w:rsid w:val="00913810"/>
    <w:rsid w:val="00913FDA"/>
    <w:rsid w:val="0091679A"/>
    <w:rsid w:val="0092034C"/>
    <w:rsid w:val="009242A9"/>
    <w:rsid w:val="00940BC5"/>
    <w:rsid w:val="009437BC"/>
    <w:rsid w:val="0094428B"/>
    <w:rsid w:val="00946F6C"/>
    <w:rsid w:val="00947655"/>
    <w:rsid w:val="009477FB"/>
    <w:rsid w:val="0095179B"/>
    <w:rsid w:val="00955B2A"/>
    <w:rsid w:val="009616B6"/>
    <w:rsid w:val="00962C2D"/>
    <w:rsid w:val="00966DAC"/>
    <w:rsid w:val="00967CB2"/>
    <w:rsid w:val="00982E29"/>
    <w:rsid w:val="00985F97"/>
    <w:rsid w:val="0098606E"/>
    <w:rsid w:val="009861E0"/>
    <w:rsid w:val="00990B93"/>
    <w:rsid w:val="00997C4B"/>
    <w:rsid w:val="009A4743"/>
    <w:rsid w:val="009A6E30"/>
    <w:rsid w:val="009B26FC"/>
    <w:rsid w:val="009B2C70"/>
    <w:rsid w:val="009B69D1"/>
    <w:rsid w:val="009C22BD"/>
    <w:rsid w:val="009D2DDF"/>
    <w:rsid w:val="009D3D5B"/>
    <w:rsid w:val="009D7939"/>
    <w:rsid w:val="009E390E"/>
    <w:rsid w:val="009E6CAD"/>
    <w:rsid w:val="009F0026"/>
    <w:rsid w:val="00A0130A"/>
    <w:rsid w:val="00A02615"/>
    <w:rsid w:val="00A037F0"/>
    <w:rsid w:val="00A05726"/>
    <w:rsid w:val="00A0583F"/>
    <w:rsid w:val="00A06591"/>
    <w:rsid w:val="00A06AE8"/>
    <w:rsid w:val="00A07CF2"/>
    <w:rsid w:val="00A12FF4"/>
    <w:rsid w:val="00A153C7"/>
    <w:rsid w:val="00A20486"/>
    <w:rsid w:val="00A21DED"/>
    <w:rsid w:val="00A2603A"/>
    <w:rsid w:val="00A27C1F"/>
    <w:rsid w:val="00A311B8"/>
    <w:rsid w:val="00A35EB9"/>
    <w:rsid w:val="00A375EA"/>
    <w:rsid w:val="00A44AAE"/>
    <w:rsid w:val="00A54D7B"/>
    <w:rsid w:val="00A554AB"/>
    <w:rsid w:val="00A55801"/>
    <w:rsid w:val="00A55DC6"/>
    <w:rsid w:val="00A617B8"/>
    <w:rsid w:val="00A66F9E"/>
    <w:rsid w:val="00A71C7C"/>
    <w:rsid w:val="00A727F3"/>
    <w:rsid w:val="00A72D19"/>
    <w:rsid w:val="00A73D70"/>
    <w:rsid w:val="00A74B7F"/>
    <w:rsid w:val="00A80EDE"/>
    <w:rsid w:val="00A81F77"/>
    <w:rsid w:val="00A829B5"/>
    <w:rsid w:val="00A84C3B"/>
    <w:rsid w:val="00A8767A"/>
    <w:rsid w:val="00A92838"/>
    <w:rsid w:val="00A94FA7"/>
    <w:rsid w:val="00AA0D17"/>
    <w:rsid w:val="00AA1E7F"/>
    <w:rsid w:val="00AA3E00"/>
    <w:rsid w:val="00AA5DE6"/>
    <w:rsid w:val="00AA7158"/>
    <w:rsid w:val="00AB212F"/>
    <w:rsid w:val="00AB2C03"/>
    <w:rsid w:val="00AB511E"/>
    <w:rsid w:val="00AB79E1"/>
    <w:rsid w:val="00AC1A35"/>
    <w:rsid w:val="00AC2638"/>
    <w:rsid w:val="00AC2973"/>
    <w:rsid w:val="00AC3412"/>
    <w:rsid w:val="00AD47FF"/>
    <w:rsid w:val="00AD5701"/>
    <w:rsid w:val="00AD5746"/>
    <w:rsid w:val="00AD71CA"/>
    <w:rsid w:val="00AE1A5F"/>
    <w:rsid w:val="00AE50F7"/>
    <w:rsid w:val="00AE55A8"/>
    <w:rsid w:val="00AF3024"/>
    <w:rsid w:val="00AF349B"/>
    <w:rsid w:val="00AF7929"/>
    <w:rsid w:val="00B0501F"/>
    <w:rsid w:val="00B11335"/>
    <w:rsid w:val="00B12325"/>
    <w:rsid w:val="00B15359"/>
    <w:rsid w:val="00B17938"/>
    <w:rsid w:val="00B20D21"/>
    <w:rsid w:val="00B24F47"/>
    <w:rsid w:val="00B25C5A"/>
    <w:rsid w:val="00B27904"/>
    <w:rsid w:val="00B27EAE"/>
    <w:rsid w:val="00B303BE"/>
    <w:rsid w:val="00B30CE8"/>
    <w:rsid w:val="00B328AF"/>
    <w:rsid w:val="00B33DAE"/>
    <w:rsid w:val="00B35578"/>
    <w:rsid w:val="00B36F8C"/>
    <w:rsid w:val="00B37069"/>
    <w:rsid w:val="00B427A2"/>
    <w:rsid w:val="00B42D87"/>
    <w:rsid w:val="00B435FE"/>
    <w:rsid w:val="00B443AF"/>
    <w:rsid w:val="00B44A46"/>
    <w:rsid w:val="00B47E94"/>
    <w:rsid w:val="00B50B54"/>
    <w:rsid w:val="00B53B0C"/>
    <w:rsid w:val="00B5797E"/>
    <w:rsid w:val="00B61C06"/>
    <w:rsid w:val="00B6285A"/>
    <w:rsid w:val="00B63BA9"/>
    <w:rsid w:val="00B65589"/>
    <w:rsid w:val="00B80235"/>
    <w:rsid w:val="00B8226C"/>
    <w:rsid w:val="00B85AE9"/>
    <w:rsid w:val="00B85EAC"/>
    <w:rsid w:val="00B86DA6"/>
    <w:rsid w:val="00B904E4"/>
    <w:rsid w:val="00BA04A5"/>
    <w:rsid w:val="00BA196A"/>
    <w:rsid w:val="00BA5BD1"/>
    <w:rsid w:val="00BA75A8"/>
    <w:rsid w:val="00BB2349"/>
    <w:rsid w:val="00BB4BE1"/>
    <w:rsid w:val="00BB6AB6"/>
    <w:rsid w:val="00BC2F59"/>
    <w:rsid w:val="00BC3F55"/>
    <w:rsid w:val="00BC5A79"/>
    <w:rsid w:val="00BD090A"/>
    <w:rsid w:val="00BD30D1"/>
    <w:rsid w:val="00BD6325"/>
    <w:rsid w:val="00BD724D"/>
    <w:rsid w:val="00BE0B82"/>
    <w:rsid w:val="00BE2085"/>
    <w:rsid w:val="00BE39DC"/>
    <w:rsid w:val="00BE57EC"/>
    <w:rsid w:val="00BE607C"/>
    <w:rsid w:val="00BF189D"/>
    <w:rsid w:val="00BF1F6A"/>
    <w:rsid w:val="00BF4C16"/>
    <w:rsid w:val="00BF51E2"/>
    <w:rsid w:val="00BF5EF2"/>
    <w:rsid w:val="00C00FB8"/>
    <w:rsid w:val="00C033EA"/>
    <w:rsid w:val="00C07359"/>
    <w:rsid w:val="00C07924"/>
    <w:rsid w:val="00C130C1"/>
    <w:rsid w:val="00C13F4D"/>
    <w:rsid w:val="00C25F96"/>
    <w:rsid w:val="00C30B4B"/>
    <w:rsid w:val="00C30DC8"/>
    <w:rsid w:val="00C3223D"/>
    <w:rsid w:val="00C37F52"/>
    <w:rsid w:val="00C57DC9"/>
    <w:rsid w:val="00C61B76"/>
    <w:rsid w:val="00C623D4"/>
    <w:rsid w:val="00C63C5F"/>
    <w:rsid w:val="00C6737C"/>
    <w:rsid w:val="00C67E56"/>
    <w:rsid w:val="00C700EA"/>
    <w:rsid w:val="00C7188F"/>
    <w:rsid w:val="00C72C61"/>
    <w:rsid w:val="00C740BF"/>
    <w:rsid w:val="00C75ED8"/>
    <w:rsid w:val="00C7640F"/>
    <w:rsid w:val="00C8255B"/>
    <w:rsid w:val="00C830A8"/>
    <w:rsid w:val="00C85A50"/>
    <w:rsid w:val="00C87F04"/>
    <w:rsid w:val="00C97E31"/>
    <w:rsid w:val="00CA0AC2"/>
    <w:rsid w:val="00CA2699"/>
    <w:rsid w:val="00CA41B6"/>
    <w:rsid w:val="00CB0FF4"/>
    <w:rsid w:val="00CB1B23"/>
    <w:rsid w:val="00CB421D"/>
    <w:rsid w:val="00CC5209"/>
    <w:rsid w:val="00CC6D20"/>
    <w:rsid w:val="00CD31A7"/>
    <w:rsid w:val="00CD5C2A"/>
    <w:rsid w:val="00CE1486"/>
    <w:rsid w:val="00CE2345"/>
    <w:rsid w:val="00CF46B2"/>
    <w:rsid w:val="00CF53DD"/>
    <w:rsid w:val="00CF5420"/>
    <w:rsid w:val="00D002C5"/>
    <w:rsid w:val="00D00650"/>
    <w:rsid w:val="00D01E11"/>
    <w:rsid w:val="00D02107"/>
    <w:rsid w:val="00D03EA9"/>
    <w:rsid w:val="00D128DC"/>
    <w:rsid w:val="00D161DF"/>
    <w:rsid w:val="00D16A6E"/>
    <w:rsid w:val="00D16F59"/>
    <w:rsid w:val="00D23B19"/>
    <w:rsid w:val="00D25C32"/>
    <w:rsid w:val="00D2749C"/>
    <w:rsid w:val="00D3770D"/>
    <w:rsid w:val="00D37B95"/>
    <w:rsid w:val="00D42A50"/>
    <w:rsid w:val="00D51E3E"/>
    <w:rsid w:val="00D52CBA"/>
    <w:rsid w:val="00D53CC8"/>
    <w:rsid w:val="00D54EFA"/>
    <w:rsid w:val="00D61567"/>
    <w:rsid w:val="00D628FE"/>
    <w:rsid w:val="00D66EFC"/>
    <w:rsid w:val="00D678C3"/>
    <w:rsid w:val="00D72651"/>
    <w:rsid w:val="00D74D51"/>
    <w:rsid w:val="00D755B0"/>
    <w:rsid w:val="00D767F9"/>
    <w:rsid w:val="00D77D70"/>
    <w:rsid w:val="00D80197"/>
    <w:rsid w:val="00D82104"/>
    <w:rsid w:val="00D8299A"/>
    <w:rsid w:val="00D83328"/>
    <w:rsid w:val="00D833BA"/>
    <w:rsid w:val="00D91F19"/>
    <w:rsid w:val="00D920AB"/>
    <w:rsid w:val="00D93BCF"/>
    <w:rsid w:val="00D96FA7"/>
    <w:rsid w:val="00DA2922"/>
    <w:rsid w:val="00DA52C1"/>
    <w:rsid w:val="00DA565E"/>
    <w:rsid w:val="00DB23A1"/>
    <w:rsid w:val="00DB257C"/>
    <w:rsid w:val="00DB273D"/>
    <w:rsid w:val="00DB2752"/>
    <w:rsid w:val="00DB762D"/>
    <w:rsid w:val="00DB7CE5"/>
    <w:rsid w:val="00DC100B"/>
    <w:rsid w:val="00DC1018"/>
    <w:rsid w:val="00DC2D7E"/>
    <w:rsid w:val="00DD0EB2"/>
    <w:rsid w:val="00DD1889"/>
    <w:rsid w:val="00DD3594"/>
    <w:rsid w:val="00DD7F4C"/>
    <w:rsid w:val="00DE0E45"/>
    <w:rsid w:val="00DE48E8"/>
    <w:rsid w:val="00DF03A4"/>
    <w:rsid w:val="00DF198A"/>
    <w:rsid w:val="00DF30F4"/>
    <w:rsid w:val="00DF4C56"/>
    <w:rsid w:val="00DF638C"/>
    <w:rsid w:val="00DF6F6C"/>
    <w:rsid w:val="00E0405C"/>
    <w:rsid w:val="00E063FB"/>
    <w:rsid w:val="00E0779E"/>
    <w:rsid w:val="00E1136D"/>
    <w:rsid w:val="00E12CBF"/>
    <w:rsid w:val="00E21CF7"/>
    <w:rsid w:val="00E2358E"/>
    <w:rsid w:val="00E2496A"/>
    <w:rsid w:val="00E24A0E"/>
    <w:rsid w:val="00E266B1"/>
    <w:rsid w:val="00E323DC"/>
    <w:rsid w:val="00E326D5"/>
    <w:rsid w:val="00E34743"/>
    <w:rsid w:val="00E349F8"/>
    <w:rsid w:val="00E34D0B"/>
    <w:rsid w:val="00E368B8"/>
    <w:rsid w:val="00E4071E"/>
    <w:rsid w:val="00E407DB"/>
    <w:rsid w:val="00E45305"/>
    <w:rsid w:val="00E45900"/>
    <w:rsid w:val="00E4617E"/>
    <w:rsid w:val="00E53C14"/>
    <w:rsid w:val="00E54E0F"/>
    <w:rsid w:val="00E56FBE"/>
    <w:rsid w:val="00E57FF8"/>
    <w:rsid w:val="00E630A6"/>
    <w:rsid w:val="00E65A44"/>
    <w:rsid w:val="00E6748B"/>
    <w:rsid w:val="00E70011"/>
    <w:rsid w:val="00E72FE7"/>
    <w:rsid w:val="00EA6470"/>
    <w:rsid w:val="00EA7A4F"/>
    <w:rsid w:val="00EB3D1B"/>
    <w:rsid w:val="00EB5609"/>
    <w:rsid w:val="00EC2234"/>
    <w:rsid w:val="00EC2596"/>
    <w:rsid w:val="00EC3430"/>
    <w:rsid w:val="00EC5A45"/>
    <w:rsid w:val="00EC669D"/>
    <w:rsid w:val="00EC7ED7"/>
    <w:rsid w:val="00ED341A"/>
    <w:rsid w:val="00ED3EE7"/>
    <w:rsid w:val="00ED7AAB"/>
    <w:rsid w:val="00EE0B03"/>
    <w:rsid w:val="00EE4747"/>
    <w:rsid w:val="00EE6589"/>
    <w:rsid w:val="00EE690E"/>
    <w:rsid w:val="00EE69ED"/>
    <w:rsid w:val="00EF1E4D"/>
    <w:rsid w:val="00EF4484"/>
    <w:rsid w:val="00F0026D"/>
    <w:rsid w:val="00F00EA8"/>
    <w:rsid w:val="00F02423"/>
    <w:rsid w:val="00F0252B"/>
    <w:rsid w:val="00F03A77"/>
    <w:rsid w:val="00F04EF3"/>
    <w:rsid w:val="00F057DC"/>
    <w:rsid w:val="00F10539"/>
    <w:rsid w:val="00F133AA"/>
    <w:rsid w:val="00F13EF0"/>
    <w:rsid w:val="00F1481E"/>
    <w:rsid w:val="00F14ECE"/>
    <w:rsid w:val="00F17A36"/>
    <w:rsid w:val="00F3066E"/>
    <w:rsid w:val="00F34C73"/>
    <w:rsid w:val="00F350E0"/>
    <w:rsid w:val="00F36B3D"/>
    <w:rsid w:val="00F41996"/>
    <w:rsid w:val="00F42016"/>
    <w:rsid w:val="00F4379D"/>
    <w:rsid w:val="00F44617"/>
    <w:rsid w:val="00F4748D"/>
    <w:rsid w:val="00F47F89"/>
    <w:rsid w:val="00F503F0"/>
    <w:rsid w:val="00F5383F"/>
    <w:rsid w:val="00F57F1C"/>
    <w:rsid w:val="00F60ABC"/>
    <w:rsid w:val="00F64C5B"/>
    <w:rsid w:val="00F67848"/>
    <w:rsid w:val="00F70014"/>
    <w:rsid w:val="00F70593"/>
    <w:rsid w:val="00F76F16"/>
    <w:rsid w:val="00F80019"/>
    <w:rsid w:val="00F819B5"/>
    <w:rsid w:val="00F9172F"/>
    <w:rsid w:val="00F918A0"/>
    <w:rsid w:val="00F95768"/>
    <w:rsid w:val="00F97B41"/>
    <w:rsid w:val="00F97B88"/>
    <w:rsid w:val="00FA00E3"/>
    <w:rsid w:val="00FA1086"/>
    <w:rsid w:val="00FA1529"/>
    <w:rsid w:val="00FA7D8D"/>
    <w:rsid w:val="00FB1646"/>
    <w:rsid w:val="00FB4796"/>
    <w:rsid w:val="00FC0E94"/>
    <w:rsid w:val="00FC2B95"/>
    <w:rsid w:val="00FC3E8C"/>
    <w:rsid w:val="00FC5AE0"/>
    <w:rsid w:val="00FC77C3"/>
    <w:rsid w:val="00FD29FE"/>
    <w:rsid w:val="00FD559D"/>
    <w:rsid w:val="00FD7598"/>
    <w:rsid w:val="00FF1E1E"/>
    <w:rsid w:val="00FF6F4C"/>
    <w:rsid w:val="00FF71F8"/>
    <w:rsid w:val="00FF784A"/>
    <w:rsid w:val="030CCB53"/>
    <w:rsid w:val="0340F283"/>
    <w:rsid w:val="039E5DD2"/>
    <w:rsid w:val="04140EB3"/>
    <w:rsid w:val="04525F3A"/>
    <w:rsid w:val="06033C06"/>
    <w:rsid w:val="0604520B"/>
    <w:rsid w:val="0644DDAC"/>
    <w:rsid w:val="070C72AC"/>
    <w:rsid w:val="07183D13"/>
    <w:rsid w:val="08BA6247"/>
    <w:rsid w:val="092F5DAC"/>
    <w:rsid w:val="09A2DCF9"/>
    <w:rsid w:val="0A58926C"/>
    <w:rsid w:val="0A60DBC0"/>
    <w:rsid w:val="0AD9B93E"/>
    <w:rsid w:val="0B248650"/>
    <w:rsid w:val="0B87F08B"/>
    <w:rsid w:val="0C3F83A9"/>
    <w:rsid w:val="0CAF5681"/>
    <w:rsid w:val="0D3077E1"/>
    <w:rsid w:val="0E856141"/>
    <w:rsid w:val="0F20F1AB"/>
    <w:rsid w:val="0F3DBA8A"/>
    <w:rsid w:val="0F97BEC1"/>
    <w:rsid w:val="136F47B1"/>
    <w:rsid w:val="1387EB67"/>
    <w:rsid w:val="14F8F957"/>
    <w:rsid w:val="1535B8CC"/>
    <w:rsid w:val="1550D869"/>
    <w:rsid w:val="15B1345E"/>
    <w:rsid w:val="1646A814"/>
    <w:rsid w:val="17C917F7"/>
    <w:rsid w:val="189593E9"/>
    <w:rsid w:val="18CE2E3A"/>
    <w:rsid w:val="191A6168"/>
    <w:rsid w:val="1A874982"/>
    <w:rsid w:val="1AD117D8"/>
    <w:rsid w:val="1BB74AF0"/>
    <w:rsid w:val="1C428D5D"/>
    <w:rsid w:val="1D5EA3FE"/>
    <w:rsid w:val="1E3A551C"/>
    <w:rsid w:val="1F24C7C5"/>
    <w:rsid w:val="210723EB"/>
    <w:rsid w:val="212993AE"/>
    <w:rsid w:val="215E355D"/>
    <w:rsid w:val="21DDB868"/>
    <w:rsid w:val="2218AAA7"/>
    <w:rsid w:val="222CC360"/>
    <w:rsid w:val="2241141A"/>
    <w:rsid w:val="23B780BE"/>
    <w:rsid w:val="23E67905"/>
    <w:rsid w:val="243F312E"/>
    <w:rsid w:val="2576C479"/>
    <w:rsid w:val="2659AF01"/>
    <w:rsid w:val="28D7205E"/>
    <w:rsid w:val="292201D7"/>
    <w:rsid w:val="295B40F4"/>
    <w:rsid w:val="29FF183D"/>
    <w:rsid w:val="2BB54FFE"/>
    <w:rsid w:val="2BF1CF2C"/>
    <w:rsid w:val="2C99F3BB"/>
    <w:rsid w:val="2D85BBA4"/>
    <w:rsid w:val="2E2C0DEA"/>
    <w:rsid w:val="2E90A608"/>
    <w:rsid w:val="2EF8DED6"/>
    <w:rsid w:val="30EB6BA2"/>
    <w:rsid w:val="31170FA5"/>
    <w:rsid w:val="31310082"/>
    <w:rsid w:val="32605A10"/>
    <w:rsid w:val="33760CC5"/>
    <w:rsid w:val="339FCC8F"/>
    <w:rsid w:val="3499D2EB"/>
    <w:rsid w:val="3550367E"/>
    <w:rsid w:val="360EE4AB"/>
    <w:rsid w:val="3787FFFE"/>
    <w:rsid w:val="37CAC621"/>
    <w:rsid w:val="38063056"/>
    <w:rsid w:val="394EBC2B"/>
    <w:rsid w:val="39FDC14F"/>
    <w:rsid w:val="3ADE1F91"/>
    <w:rsid w:val="3B082DAE"/>
    <w:rsid w:val="3B638FDF"/>
    <w:rsid w:val="3B768774"/>
    <w:rsid w:val="3B812500"/>
    <w:rsid w:val="3BF6924F"/>
    <w:rsid w:val="3C560488"/>
    <w:rsid w:val="3DAF03B6"/>
    <w:rsid w:val="3E7D8D80"/>
    <w:rsid w:val="3EAFA486"/>
    <w:rsid w:val="3ED3DFCD"/>
    <w:rsid w:val="4085E019"/>
    <w:rsid w:val="41101628"/>
    <w:rsid w:val="43A8BD62"/>
    <w:rsid w:val="444DF397"/>
    <w:rsid w:val="447BBA23"/>
    <w:rsid w:val="459DD5EC"/>
    <w:rsid w:val="45CF6C58"/>
    <w:rsid w:val="46E85E92"/>
    <w:rsid w:val="47019000"/>
    <w:rsid w:val="4805B947"/>
    <w:rsid w:val="49543534"/>
    <w:rsid w:val="4AAE4584"/>
    <w:rsid w:val="4B9EBE79"/>
    <w:rsid w:val="4BD4E93A"/>
    <w:rsid w:val="4C609552"/>
    <w:rsid w:val="4CCFC298"/>
    <w:rsid w:val="4D14C793"/>
    <w:rsid w:val="4E559C83"/>
    <w:rsid w:val="4F0F4E18"/>
    <w:rsid w:val="4F6B751C"/>
    <w:rsid w:val="4F99105C"/>
    <w:rsid w:val="4FFCE7CC"/>
    <w:rsid w:val="512D7136"/>
    <w:rsid w:val="51FD69A1"/>
    <w:rsid w:val="529CE400"/>
    <w:rsid w:val="53C29096"/>
    <w:rsid w:val="545CEE14"/>
    <w:rsid w:val="5522BADA"/>
    <w:rsid w:val="57023CAE"/>
    <w:rsid w:val="57C0D1C8"/>
    <w:rsid w:val="583F3468"/>
    <w:rsid w:val="5A22D83B"/>
    <w:rsid w:val="5A86904B"/>
    <w:rsid w:val="5AB808DE"/>
    <w:rsid w:val="5AEE0485"/>
    <w:rsid w:val="5B9C4E6C"/>
    <w:rsid w:val="5C41F4F9"/>
    <w:rsid w:val="5C7F98A2"/>
    <w:rsid w:val="5D7260E4"/>
    <w:rsid w:val="5EAF634C"/>
    <w:rsid w:val="5EC8B5B7"/>
    <w:rsid w:val="5F7F7418"/>
    <w:rsid w:val="60AAB041"/>
    <w:rsid w:val="60B42E0C"/>
    <w:rsid w:val="617647DD"/>
    <w:rsid w:val="6306727F"/>
    <w:rsid w:val="6463445F"/>
    <w:rsid w:val="659320D2"/>
    <w:rsid w:val="67141691"/>
    <w:rsid w:val="674D668D"/>
    <w:rsid w:val="686B51D6"/>
    <w:rsid w:val="68BC6C14"/>
    <w:rsid w:val="68F2B0F2"/>
    <w:rsid w:val="69165FC9"/>
    <w:rsid w:val="694B356A"/>
    <w:rsid w:val="6954A132"/>
    <w:rsid w:val="6995DAC4"/>
    <w:rsid w:val="6A2C0B25"/>
    <w:rsid w:val="6A4FF9C8"/>
    <w:rsid w:val="6CD0BD1F"/>
    <w:rsid w:val="6DA636A2"/>
    <w:rsid w:val="6E2C2849"/>
    <w:rsid w:val="6EDC3143"/>
    <w:rsid w:val="6F78453A"/>
    <w:rsid w:val="70AEDD28"/>
    <w:rsid w:val="71C6E104"/>
    <w:rsid w:val="7394420C"/>
    <w:rsid w:val="74617D7C"/>
    <w:rsid w:val="7466DFB3"/>
    <w:rsid w:val="74F8DD7A"/>
    <w:rsid w:val="75F394C2"/>
    <w:rsid w:val="766E0034"/>
    <w:rsid w:val="77B7FAF7"/>
    <w:rsid w:val="78040794"/>
    <w:rsid w:val="7ABE83C8"/>
    <w:rsid w:val="7AD0AD35"/>
    <w:rsid w:val="7B0035E7"/>
    <w:rsid w:val="7CC7D0BB"/>
    <w:rsid w:val="7CFBAD4A"/>
    <w:rsid w:val="7D249ABF"/>
    <w:rsid w:val="7E96B224"/>
    <w:rsid w:val="7F941B12"/>
    <w:rsid w:val="7FA98783"/>
  </w:rsids>
  <m:mathPr>
    <m:mathFont m:val="Cambria Math"/>
    <m:brkBin m:val="before"/>
    <m:brkBinSub m:val="--"/>
    <m:smallFrac m:val="0"/>
    <m:dispDef/>
    <m:lMargin m:val="0"/>
    <m:rMargin m:val="0"/>
    <m:defJc m:val="centerGroup"/>
    <m:wrapIndent m:val="1440"/>
    <m:intLim m:val="subSup"/>
    <m:naryLim m:val="undOvr"/>
  </m:mathPr>
  <w:themeFontLang w:val="en-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A244A"/>
  <w15:chartTrackingRefBased/>
  <w15:docId w15:val="{9D591613-DF2C-40E7-A4F6-9F43E9A25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3D4"/>
  </w:style>
  <w:style w:type="paragraph" w:styleId="Heading1">
    <w:name w:val="heading 1"/>
    <w:basedOn w:val="Normal"/>
    <w:next w:val="Normal"/>
    <w:link w:val="Heading1Char"/>
    <w:uiPriority w:val="9"/>
    <w:qFormat/>
    <w:rsid w:val="00C623D4"/>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C623D4"/>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C623D4"/>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C623D4"/>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C623D4"/>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C623D4"/>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C623D4"/>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C623D4"/>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C623D4"/>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3D4"/>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rsid w:val="00C623D4"/>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C623D4"/>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C623D4"/>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C623D4"/>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C623D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C623D4"/>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C623D4"/>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C623D4"/>
    <w:rPr>
      <w:rFonts w:asciiTheme="majorHAnsi" w:eastAsiaTheme="majorEastAsia" w:hAnsiTheme="majorHAnsi" w:cstheme="majorBidi"/>
      <w:i/>
      <w:iCs/>
      <w:sz w:val="18"/>
      <w:szCs w:val="18"/>
    </w:rPr>
  </w:style>
  <w:style w:type="paragraph" w:styleId="Title">
    <w:name w:val="Title"/>
    <w:basedOn w:val="Normal"/>
    <w:next w:val="Normal"/>
    <w:link w:val="TitleChar"/>
    <w:uiPriority w:val="10"/>
    <w:qFormat/>
    <w:rsid w:val="00C623D4"/>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C623D4"/>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C623D4"/>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C623D4"/>
    <w:rPr>
      <w:i/>
      <w:iCs/>
      <w:color w:val="808080" w:themeColor="text1" w:themeTint="7F"/>
      <w:spacing w:val="10"/>
      <w:sz w:val="24"/>
      <w:szCs w:val="24"/>
    </w:rPr>
  </w:style>
  <w:style w:type="paragraph" w:styleId="Quote">
    <w:name w:val="Quote"/>
    <w:basedOn w:val="Normal"/>
    <w:next w:val="Normal"/>
    <w:link w:val="QuoteChar"/>
    <w:uiPriority w:val="29"/>
    <w:qFormat/>
    <w:rsid w:val="00C623D4"/>
    <w:rPr>
      <w:color w:val="5A5A5A" w:themeColor="text1" w:themeTint="A5"/>
    </w:rPr>
  </w:style>
  <w:style w:type="character" w:customStyle="1" w:styleId="QuoteChar">
    <w:name w:val="Quote Char"/>
    <w:basedOn w:val="DefaultParagraphFont"/>
    <w:link w:val="Quote"/>
    <w:uiPriority w:val="29"/>
    <w:rsid w:val="00C623D4"/>
    <w:rPr>
      <w:color w:val="5A5A5A" w:themeColor="text1" w:themeTint="A5"/>
    </w:rPr>
  </w:style>
  <w:style w:type="paragraph" w:styleId="ListParagraph">
    <w:name w:val="List Paragraph"/>
    <w:basedOn w:val="Normal"/>
    <w:uiPriority w:val="34"/>
    <w:qFormat/>
    <w:rsid w:val="00C623D4"/>
    <w:pPr>
      <w:ind w:left="720"/>
      <w:contextualSpacing/>
    </w:pPr>
  </w:style>
  <w:style w:type="character" w:styleId="IntenseEmphasis">
    <w:name w:val="Intense Emphasis"/>
    <w:uiPriority w:val="21"/>
    <w:qFormat/>
    <w:rsid w:val="00C623D4"/>
    <w:rPr>
      <w:b/>
      <w:bCs/>
      <w:i/>
      <w:iCs/>
      <w:color w:val="auto"/>
      <w:u w:val="single"/>
    </w:rPr>
  </w:style>
  <w:style w:type="paragraph" w:styleId="IntenseQuote">
    <w:name w:val="Intense Quote"/>
    <w:basedOn w:val="Normal"/>
    <w:next w:val="Normal"/>
    <w:link w:val="IntenseQuoteChar"/>
    <w:uiPriority w:val="30"/>
    <w:qFormat/>
    <w:rsid w:val="00C623D4"/>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C623D4"/>
    <w:rPr>
      <w:rFonts w:asciiTheme="majorHAnsi" w:eastAsiaTheme="majorEastAsia" w:hAnsiTheme="majorHAnsi" w:cstheme="majorBidi"/>
      <w:i/>
      <w:iCs/>
      <w:sz w:val="20"/>
      <w:szCs w:val="20"/>
    </w:rPr>
  </w:style>
  <w:style w:type="character" w:styleId="IntenseReference">
    <w:name w:val="Intense Reference"/>
    <w:uiPriority w:val="32"/>
    <w:qFormat/>
    <w:rsid w:val="00C623D4"/>
    <w:rPr>
      <w:b/>
      <w:bCs/>
      <w:smallCaps/>
      <w:color w:val="auto"/>
    </w:rPr>
  </w:style>
  <w:style w:type="paragraph" w:styleId="Caption">
    <w:name w:val="caption"/>
    <w:basedOn w:val="Normal"/>
    <w:next w:val="Normal"/>
    <w:uiPriority w:val="35"/>
    <w:unhideWhenUsed/>
    <w:qFormat/>
    <w:rsid w:val="00C623D4"/>
    <w:rPr>
      <w:b/>
      <w:bCs/>
      <w:sz w:val="18"/>
      <w:szCs w:val="18"/>
    </w:rPr>
  </w:style>
  <w:style w:type="character" w:styleId="Strong">
    <w:name w:val="Strong"/>
    <w:basedOn w:val="DefaultParagraphFont"/>
    <w:uiPriority w:val="22"/>
    <w:qFormat/>
    <w:rsid w:val="00C623D4"/>
    <w:rPr>
      <w:b/>
      <w:bCs/>
      <w:spacing w:val="0"/>
    </w:rPr>
  </w:style>
  <w:style w:type="character" w:styleId="Emphasis">
    <w:name w:val="Emphasis"/>
    <w:uiPriority w:val="20"/>
    <w:qFormat/>
    <w:rsid w:val="00C623D4"/>
    <w:rPr>
      <w:b/>
      <w:bCs/>
      <w:i/>
      <w:iCs/>
      <w:color w:val="auto"/>
    </w:rPr>
  </w:style>
  <w:style w:type="paragraph" w:styleId="NoSpacing">
    <w:name w:val="No Spacing"/>
    <w:basedOn w:val="Normal"/>
    <w:link w:val="NoSpacingChar"/>
    <w:uiPriority w:val="1"/>
    <w:qFormat/>
    <w:rsid w:val="00C623D4"/>
    <w:pPr>
      <w:spacing w:after="0" w:line="240" w:lineRule="auto"/>
      <w:ind w:firstLine="0"/>
    </w:pPr>
  </w:style>
  <w:style w:type="character" w:customStyle="1" w:styleId="NoSpacingChar">
    <w:name w:val="No Spacing Char"/>
    <w:basedOn w:val="DefaultParagraphFont"/>
    <w:link w:val="NoSpacing"/>
    <w:uiPriority w:val="1"/>
    <w:rsid w:val="00CA0AC2"/>
  </w:style>
  <w:style w:type="character" w:styleId="SubtleEmphasis">
    <w:name w:val="Subtle Emphasis"/>
    <w:uiPriority w:val="19"/>
    <w:qFormat/>
    <w:rsid w:val="00C623D4"/>
    <w:rPr>
      <w:i/>
      <w:iCs/>
      <w:color w:val="5A5A5A" w:themeColor="text1" w:themeTint="A5"/>
    </w:rPr>
  </w:style>
  <w:style w:type="character" w:styleId="SubtleReference">
    <w:name w:val="Subtle Reference"/>
    <w:uiPriority w:val="31"/>
    <w:qFormat/>
    <w:rsid w:val="00C623D4"/>
    <w:rPr>
      <w:smallCaps/>
    </w:rPr>
  </w:style>
  <w:style w:type="character" w:styleId="BookTitle">
    <w:name w:val="Book Title"/>
    <w:uiPriority w:val="33"/>
    <w:qFormat/>
    <w:rsid w:val="00C623D4"/>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C623D4"/>
    <w:pPr>
      <w:outlineLvl w:val="9"/>
    </w:pPr>
  </w:style>
  <w:style w:type="character" w:styleId="PlaceholderText">
    <w:name w:val="Placeholder Text"/>
    <w:basedOn w:val="DefaultParagraphFont"/>
    <w:uiPriority w:val="99"/>
    <w:semiHidden/>
    <w:rsid w:val="00420161"/>
    <w:rPr>
      <w:color w:val="666666"/>
    </w:rPr>
  </w:style>
  <w:style w:type="character" w:styleId="CommentReference">
    <w:name w:val="annotation reference"/>
    <w:basedOn w:val="DefaultParagraphFont"/>
    <w:uiPriority w:val="99"/>
    <w:semiHidden/>
    <w:unhideWhenUsed/>
    <w:rsid w:val="00776067"/>
    <w:rPr>
      <w:sz w:val="16"/>
      <w:szCs w:val="16"/>
    </w:rPr>
  </w:style>
  <w:style w:type="paragraph" w:styleId="CommentText">
    <w:name w:val="annotation text"/>
    <w:basedOn w:val="Normal"/>
    <w:link w:val="CommentTextChar"/>
    <w:uiPriority w:val="99"/>
    <w:semiHidden/>
    <w:unhideWhenUsed/>
    <w:rsid w:val="00776067"/>
    <w:pPr>
      <w:spacing w:line="240" w:lineRule="auto"/>
    </w:pPr>
    <w:rPr>
      <w:sz w:val="20"/>
      <w:szCs w:val="20"/>
    </w:rPr>
  </w:style>
  <w:style w:type="character" w:customStyle="1" w:styleId="CommentTextChar">
    <w:name w:val="Comment Text Char"/>
    <w:basedOn w:val="DefaultParagraphFont"/>
    <w:link w:val="CommentText"/>
    <w:uiPriority w:val="99"/>
    <w:semiHidden/>
    <w:rsid w:val="00776067"/>
    <w:rPr>
      <w:sz w:val="20"/>
      <w:szCs w:val="20"/>
    </w:rPr>
  </w:style>
  <w:style w:type="paragraph" w:styleId="CommentSubject">
    <w:name w:val="annotation subject"/>
    <w:basedOn w:val="CommentText"/>
    <w:next w:val="CommentText"/>
    <w:link w:val="CommentSubjectChar"/>
    <w:uiPriority w:val="99"/>
    <w:semiHidden/>
    <w:unhideWhenUsed/>
    <w:rsid w:val="00776067"/>
    <w:rPr>
      <w:b/>
      <w:bCs/>
    </w:rPr>
  </w:style>
  <w:style w:type="character" w:customStyle="1" w:styleId="CommentSubjectChar">
    <w:name w:val="Comment Subject Char"/>
    <w:basedOn w:val="CommentTextChar"/>
    <w:link w:val="CommentSubject"/>
    <w:uiPriority w:val="99"/>
    <w:semiHidden/>
    <w:rsid w:val="00776067"/>
    <w:rPr>
      <w:b/>
      <w:bCs/>
      <w:sz w:val="20"/>
      <w:szCs w:val="20"/>
    </w:rPr>
  </w:style>
  <w:style w:type="table" w:styleId="TableGrid">
    <w:name w:val="Table Grid"/>
    <w:basedOn w:val="TableNormal"/>
    <w:uiPriority w:val="39"/>
    <w:rsid w:val="003E4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E4DC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E4DC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E4DC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3A1E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A1E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A1E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
    <w:name w:val="List Table 1 Light"/>
    <w:basedOn w:val="TableNormal"/>
    <w:uiPriority w:val="46"/>
    <w:rsid w:val="003A1EC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3A1EC1"/>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paragraph" w:styleId="NormalWeb">
    <w:name w:val="Normal (Web)"/>
    <w:basedOn w:val="Normal"/>
    <w:uiPriority w:val="99"/>
    <w:semiHidden/>
    <w:unhideWhenUsed/>
    <w:rsid w:val="00BF1F6A"/>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url">
    <w:name w:val="url"/>
    <w:basedOn w:val="DefaultParagraphFont"/>
    <w:rsid w:val="00BF1F6A"/>
  </w:style>
  <w:style w:type="paragraph" w:styleId="Header">
    <w:name w:val="header"/>
    <w:basedOn w:val="Normal"/>
    <w:link w:val="HeaderChar"/>
    <w:uiPriority w:val="99"/>
    <w:unhideWhenUsed/>
    <w:rsid w:val="00883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033"/>
  </w:style>
  <w:style w:type="paragraph" w:styleId="Footer">
    <w:name w:val="footer"/>
    <w:basedOn w:val="Normal"/>
    <w:link w:val="FooterChar"/>
    <w:uiPriority w:val="99"/>
    <w:unhideWhenUsed/>
    <w:rsid w:val="00883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0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4/relationships/chartEx" Target="charts/chartEx1.xml"/><Relationship Id="rId5" Type="http://schemas.openxmlformats.org/officeDocument/2006/relationships/footnotes" Target="footnotes.xml"/><Relationship Id="rId15" Type="http://schemas.openxmlformats.org/officeDocument/2006/relationships/image" Target="media/image3.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4/relationships/chartEx" Target="charts/chartEx2.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Users\a20230827046\Downloads\2024_Districts__Charters_Elementary_and_Middle_Grades_ELA__Math__and_Science_Refusals.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Users\a20240227059\Downloads\2024_Districts__Charters_Elementary_and_Middle_Grades_ELA__Math__and_Science_Refusals.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ELA!$F$2:$F$1014</cx:f>
        <cx:lvl ptCount="1013" formatCode="G/通用格式">
          <cx:pt idx="0">0</cx:pt>
          <cx:pt idx="1">11.9</cx:pt>
          <cx:pt idx="2">4.4000000000000004</cx:pt>
          <cx:pt idx="3">0.80000000000000004</cx:pt>
          <cx:pt idx="4">1.8</cx:pt>
          <cx:pt idx="5">0</cx:pt>
          <cx:pt idx="6">0.80000000000000004</cx:pt>
          <cx:pt idx="7">1.3</cx:pt>
          <cx:pt idx="8">0</cx:pt>
          <cx:pt idx="9">0</cx:pt>
          <cx:pt idx="10">0.29999999999999999</cx:pt>
          <cx:pt idx="11">7.5999999999999996</cx:pt>
          <cx:pt idx="12">19</cx:pt>
          <cx:pt idx="13">1.8</cx:pt>
          <cx:pt idx="14">9.9000000000000004</cx:pt>
          <cx:pt idx="15">1.8</cx:pt>
          <cx:pt idx="16">6</cx:pt>
          <cx:pt idx="17">8.4000000000000004</cx:pt>
          <cx:pt idx="18">5.5</cx:pt>
          <cx:pt idx="19">13.1</cx:pt>
          <cx:pt idx="20">2</cx:pt>
          <cx:pt idx="21">4.5999999999999996</cx:pt>
          <cx:pt idx="22">1</cx:pt>
          <cx:pt idx="23">11.6</cx:pt>
          <cx:pt idx="24">7.9000000000000004</cx:pt>
          <cx:pt idx="25">0</cx:pt>
          <cx:pt idx="26">0</cx:pt>
          <cx:pt idx="27">2.5</cx:pt>
          <cx:pt idx="28">1.5</cx:pt>
          <cx:pt idx="29">10.800000000000001</cx:pt>
          <cx:pt idx="30">4.5999999999999996</cx:pt>
          <cx:pt idx="31">3.1000000000000001</cx:pt>
          <cx:pt idx="32">3.7000000000000002</cx:pt>
          <cx:pt idx="33">3.2999999999999998</cx:pt>
          <cx:pt idx="34">4.5999999999999996</cx:pt>
          <cx:pt idx="35">0.40000000000000002</cx:pt>
          <cx:pt idx="36">5.9000000000000004</cx:pt>
          <cx:pt idx="37">2.7999999999999998</cx:pt>
          <cx:pt idx="38">5.7000000000000002</cx:pt>
          <cx:pt idx="39">6.2000000000000002</cx:pt>
          <cx:pt idx="40">8.3000000000000007</cx:pt>
          <cx:pt idx="41">9.1999999999999993</cx:pt>
          <cx:pt idx="42">6.7000000000000002</cx:pt>
          <cx:pt idx="43">3.5</cx:pt>
          <cx:pt idx="44">4.0999999999999996</cx:pt>
          <cx:pt idx="45">0</cx:pt>
          <cx:pt idx="46">3</cx:pt>
          <cx:pt idx="47">9.5</cx:pt>
          <cx:pt idx="48">3.7999999999999998</cx:pt>
          <cx:pt idx="49">3.3999999999999999</cx:pt>
          <cx:pt idx="50">19.699999999999999</cx:pt>
          <cx:pt idx="51">11.4</cx:pt>
          <cx:pt idx="52">4.2000000000000002</cx:pt>
          <cx:pt idx="53">0.69999999999999996</cx:pt>
          <cx:pt idx="54">2.6000000000000001</cx:pt>
          <cx:pt idx="55">0</cx:pt>
          <cx:pt idx="56">2.8999999999999999</cx:pt>
          <cx:pt idx="57">16.699999999999999</cx:pt>
          <cx:pt idx="58">5.7999999999999998</cx:pt>
          <cx:pt idx="59">2.6000000000000001</cx:pt>
          <cx:pt idx="60">0.5</cx:pt>
          <cx:pt idx="61">1</cx:pt>
          <cx:pt idx="62">2.8999999999999999</cx:pt>
          <cx:pt idx="63">3.5</cx:pt>
          <cx:pt idx="64">3.6000000000000001</cx:pt>
          <cx:pt idx="65">2</cx:pt>
          <cx:pt idx="66">3.7000000000000002</cx:pt>
          <cx:pt idx="67">3.8999999999999999</cx:pt>
          <cx:pt idx="68">3.7000000000000002</cx:pt>
          <cx:pt idx="69">0.40000000000000002</cx:pt>
          <cx:pt idx="70">0</cx:pt>
          <cx:pt idx="71">2.2999999999999998</cx:pt>
          <cx:pt idx="72">1.6000000000000001</cx:pt>
          <cx:pt idx="73">8.8000000000000007</cx:pt>
          <cx:pt idx="74">12.199999999999999</cx:pt>
          <cx:pt idx="75">17</cx:pt>
          <cx:pt idx="76">1.6000000000000001</cx:pt>
          <cx:pt idx="77">1.8</cx:pt>
          <cx:pt idx="78">15</cx:pt>
          <cx:pt idx="79">4.2999999999999998</cx:pt>
          <cx:pt idx="80">0</cx:pt>
          <cx:pt idx="81">3.6000000000000001</cx:pt>
          <cx:pt idx="82">8.1999999999999993</cx:pt>
          <cx:pt idx="83">0.5</cx:pt>
          <cx:pt idx="84">0.40000000000000002</cx:pt>
          <cx:pt idx="85">9.6999999999999993</cx:pt>
          <cx:pt idx="86">2.1000000000000001</cx:pt>
          <cx:pt idx="87">11.1</cx:pt>
          <cx:pt idx="88">12.4</cx:pt>
          <cx:pt idx="89">8.5999999999999996</cx:pt>
          <cx:pt idx="90">7.0999999999999996</cx:pt>
          <cx:pt idx="91">10.1</cx:pt>
          <cx:pt idx="92">2.2999999999999998</cx:pt>
          <cx:pt idx="93">10.300000000000001</cx:pt>
          <cx:pt idx="94">3.2999999999999998</cx:pt>
          <cx:pt idx="95">3</cx:pt>
          <cx:pt idx="96">19.100000000000001</cx:pt>
          <cx:pt idx="97">14.800000000000001</cx:pt>
          <cx:pt idx="98">7.0999999999999996</cx:pt>
          <cx:pt idx="99">12.9</cx:pt>
          <cx:pt idx="100">6.7999999999999998</cx:pt>
          <cx:pt idx="101">28.399999999999999</cx:pt>
          <cx:pt idx="102">14.300000000000001</cx:pt>
          <cx:pt idx="103">2.8999999999999999</cx:pt>
          <cx:pt idx="104">10.300000000000001</cx:pt>
          <cx:pt idx="105">22.399999999999999</cx:pt>
          <cx:pt idx="106">9.9000000000000004</cx:pt>
          <cx:pt idx="107">11.4</cx:pt>
          <cx:pt idx="108">2.2000000000000002</cx:pt>
          <cx:pt idx="109">5.0999999999999996</cx:pt>
          <cx:pt idx="110">5</cx:pt>
          <cx:pt idx="111">4.9000000000000004</cx:pt>
          <cx:pt idx="112">5.5</cx:pt>
          <cx:pt idx="113">6.2999999999999998</cx:pt>
          <cx:pt idx="114">4.9000000000000004</cx:pt>
          <cx:pt idx="115">12.800000000000001</cx:pt>
          <cx:pt idx="116">8.4000000000000004</cx:pt>
          <cx:pt idx="117">7</cx:pt>
          <cx:pt idx="118">5.9000000000000004</cx:pt>
          <cx:pt idx="119">16.5</cx:pt>
          <cx:pt idx="120">3.2999999999999998</cx:pt>
          <cx:pt idx="121">3</cx:pt>
          <cx:pt idx="122">9.8000000000000007</cx:pt>
          <cx:pt idx="123">10.699999999999999</cx:pt>
          <cx:pt idx="124">6.0999999999999996</cx:pt>
          <cx:pt idx="125">9.6999999999999993</cx:pt>
          <cx:pt idx="126">5.4000000000000004</cx:pt>
          <cx:pt idx="127">20.899999999999999</cx:pt>
          <cx:pt idx="128">10.9</cx:pt>
          <cx:pt idx="129">7</cx:pt>
          <cx:pt idx="130">13.5</cx:pt>
          <cx:pt idx="131">16.399999999999999</cx:pt>
          <cx:pt idx="132">22.800000000000001</cx:pt>
          <cx:pt idx="133">16.800000000000001</cx:pt>
          <cx:pt idx="134">12.1</cx:pt>
          <cx:pt idx="135">13.6</cx:pt>
          <cx:pt idx="136">39.100000000000001</cx:pt>
          <cx:pt idx="137">11.800000000000001</cx:pt>
          <cx:pt idx="138">9.6999999999999993</cx:pt>
          <cx:pt idx="139">9</cx:pt>
          <cx:pt idx="140">19.5</cx:pt>
          <cx:pt idx="141">12</cx:pt>
          <cx:pt idx="142">28.800000000000001</cx:pt>
          <cx:pt idx="143">14.5</cx:pt>
          <cx:pt idx="144">23</cx:pt>
          <cx:pt idx="145">4.2999999999999998</cx:pt>
          <cx:pt idx="146">1.2</cx:pt>
          <cx:pt idx="147">11.9</cx:pt>
          <cx:pt idx="148">7.5999999999999996</cx:pt>
          <cx:pt idx="149">0.29999999999999999</cx:pt>
          <cx:pt idx="150">1.5</cx:pt>
          <cx:pt idx="151">4.2000000000000002</cx:pt>
          <cx:pt idx="152">12.6</cx:pt>
          <cx:pt idx="153">1.3</cx:pt>
          <cx:pt idx="154">6.5</cx:pt>
          <cx:pt idx="155">1.5</cx:pt>
          <cx:pt idx="156">0.59999999999999998</cx:pt>
          <cx:pt idx="157">1.3999999999999999</cx:pt>
          <cx:pt idx="158">0.69999999999999996</cx:pt>
          <cx:pt idx="159">3.2000000000000002</cx:pt>
          <cx:pt idx="160">1.8999999999999999</cx:pt>
          <cx:pt idx="161">0</cx:pt>
          <cx:pt idx="162">4.2999999999999998</cx:pt>
          <cx:pt idx="163">2</cx:pt>
          <cx:pt idx="164">5.5999999999999996</cx:pt>
          <cx:pt idx="165">5.9000000000000004</cx:pt>
          <cx:pt idx="166">23.5</cx:pt>
          <cx:pt idx="167">11.300000000000001</cx:pt>
          <cx:pt idx="168">14.300000000000001</cx:pt>
          <cx:pt idx="169">19.199999999999999</cx:pt>
          <cx:pt idx="170">27</cx:pt>
          <cx:pt idx="171">30.5</cx:pt>
          <cx:pt idx="172">28.100000000000001</cx:pt>
          <cx:pt idx="173">23.300000000000001</cx:pt>
          <cx:pt idx="174">30.399999999999999</cx:pt>
          <cx:pt idx="175">21.399999999999999</cx:pt>
          <cx:pt idx="176">5.2000000000000002</cx:pt>
          <cx:pt idx="177">2.7000000000000002</cx:pt>
          <cx:pt idx="178">0.5</cx:pt>
          <cx:pt idx="179">20.800000000000001</cx:pt>
          <cx:pt idx="180">2.7999999999999998</cx:pt>
          <cx:pt idx="181">21.800000000000001</cx:pt>
          <cx:pt idx="182">18.199999999999999</cx:pt>
          <cx:pt idx="183">24.399999999999999</cx:pt>
          <cx:pt idx="184">9.5999999999999996</cx:pt>
          <cx:pt idx="185">0.40000000000000002</cx:pt>
          <cx:pt idx="186">16.5</cx:pt>
          <cx:pt idx="187">0</cx:pt>
          <cx:pt idx="188">2.8999999999999999</cx:pt>
          <cx:pt idx="189">0</cx:pt>
          <cx:pt idx="190">1.7</cx:pt>
          <cx:pt idx="191">0</cx:pt>
          <cx:pt idx="192">0.40000000000000002</cx:pt>
          <cx:pt idx="193">3.5</cx:pt>
          <cx:pt idx="194">2.2999999999999998</cx:pt>
          <cx:pt idx="195">3.3999999999999999</cx:pt>
          <cx:pt idx="196">1.7</cx:pt>
          <cx:pt idx="197">1.6000000000000001</cx:pt>
          <cx:pt idx="198">4.4000000000000004</cx:pt>
          <cx:pt idx="199">2.3999999999999999</cx:pt>
          <cx:pt idx="200">1.3999999999999999</cx:pt>
          <cx:pt idx="201">22.300000000000001</cx:pt>
          <cx:pt idx="202">5.7999999999999998</cx:pt>
          <cx:pt idx="203">0</cx:pt>
          <cx:pt idx="204">0</cx:pt>
          <cx:pt idx="205">1.5</cx:pt>
          <cx:pt idx="206">0.90000000000000002</cx:pt>
          <cx:pt idx="207">3.2999999999999998</cx:pt>
          <cx:pt idx="208">6.7999999999999998</cx:pt>
          <cx:pt idx="209">5.0999999999999996</cx:pt>
          <cx:pt idx="210">8.9000000000000004</cx:pt>
          <cx:pt idx="211">20.800000000000001</cx:pt>
          <cx:pt idx="212">14.300000000000001</cx:pt>
          <cx:pt idx="213">3.2000000000000002</cx:pt>
          <cx:pt idx="214">11.1</cx:pt>
          <cx:pt idx="215">2.5</cx:pt>
          <cx:pt idx="216">9.1999999999999993</cx:pt>
          <cx:pt idx="217">1.7</cx:pt>
          <cx:pt idx="218">5.2999999999999998</cx:pt>
          <cx:pt idx="219">2.7999999999999998</cx:pt>
          <cx:pt idx="220">1</cx:pt>
          <cx:pt idx="221">8.5999999999999996</cx:pt>
          <cx:pt idx="222">16.100000000000001</cx:pt>
          <cx:pt idx="223">25.199999999999999</cx:pt>
          <cx:pt idx="224">0</cx:pt>
          <cx:pt idx="225">2.1000000000000001</cx:pt>
          <cx:pt idx="226">6.5</cx:pt>
          <cx:pt idx="227">0</cx:pt>
          <cx:pt idx="228">2</cx:pt>
          <cx:pt idx="229">8.5999999999999996</cx:pt>
          <cx:pt idx="230">1.6000000000000001</cx:pt>
          <cx:pt idx="231">0.40000000000000002</cx:pt>
          <cx:pt idx="232">4.0999999999999996</cx:pt>
          <cx:pt idx="233">11.4</cx:pt>
          <cx:pt idx="234">3.1000000000000001</cx:pt>
          <cx:pt idx="235">6.2999999999999998</cx:pt>
          <cx:pt idx="236">4.9000000000000004</cx:pt>
          <cx:pt idx="237">5.2000000000000002</cx:pt>
          <cx:pt idx="238">2.2999999999999998</cx:pt>
          <cx:pt idx="239">2.5</cx:pt>
          <cx:pt idx="240">4.0999999999999996</cx:pt>
          <cx:pt idx="241">9.3000000000000007</cx:pt>
          <cx:pt idx="242">7.9000000000000004</cx:pt>
          <cx:pt idx="243">4.2999999999999998</cx:pt>
          <cx:pt idx="244">4.2999999999999998</cx:pt>
          <cx:pt idx="245">2.7999999999999998</cx:pt>
          <cx:pt idx="246">10.300000000000001</cx:pt>
          <cx:pt idx="247">3.2000000000000002</cx:pt>
          <cx:pt idx="248">3.7999999999999998</cx:pt>
          <cx:pt idx="249">9.5</cx:pt>
          <cx:pt idx="250">0.5</cx:pt>
          <cx:pt idx="251">10.9</cx:pt>
          <cx:pt idx="252">4.4000000000000004</cx:pt>
          <cx:pt idx="253">0.90000000000000002</cx:pt>
          <cx:pt idx="254">9.0999999999999996</cx:pt>
          <cx:pt idx="255">10.300000000000001</cx:pt>
          <cx:pt idx="256">9.3000000000000007</cx:pt>
          <cx:pt idx="257">12.300000000000001</cx:pt>
          <cx:pt idx="258">19</cx:pt>
          <cx:pt idx="259">2.5</cx:pt>
          <cx:pt idx="260">16.800000000000001</cx:pt>
          <cx:pt idx="261">4.2999999999999998</cx:pt>
          <cx:pt idx="262">7.5999999999999996</cx:pt>
          <cx:pt idx="263">11.1</cx:pt>
          <cx:pt idx="264">8.8000000000000007</cx:pt>
          <cx:pt idx="265">0.69999999999999996</cx:pt>
          <cx:pt idx="266">10.6</cx:pt>
          <cx:pt idx="267">8</cx:pt>
          <cx:pt idx="268">9.8000000000000007</cx:pt>
          <cx:pt idx="269">0</cx:pt>
          <cx:pt idx="270">5.5</cx:pt>
          <cx:pt idx="271">1.6000000000000001</cx:pt>
          <cx:pt idx="272">12.800000000000001</cx:pt>
          <cx:pt idx="273">11.1</cx:pt>
          <cx:pt idx="274">9.1999999999999993</cx:pt>
          <cx:pt idx="275">2.5</cx:pt>
          <cx:pt idx="276">15.5</cx:pt>
          <cx:pt idx="277">5.7000000000000002</cx:pt>
          <cx:pt idx="278">0.69999999999999996</cx:pt>
          <cx:pt idx="279">7.5</cx:pt>
          <cx:pt idx="280">18.300000000000001</cx:pt>
          <cx:pt idx="281">12.9</cx:pt>
          <cx:pt idx="282">24.399999999999999</cx:pt>
          <cx:pt idx="283">17.800000000000001</cx:pt>
          <cx:pt idx="284">16.899999999999999</cx:pt>
          <cx:pt idx="285">7.2999999999999998</cx:pt>
          <cx:pt idx="286">15</cx:pt>
          <cx:pt idx="287">10</cx:pt>
          <cx:pt idx="288">5.7999999999999998</cx:pt>
          <cx:pt idx="289">1.1000000000000001</cx:pt>
          <cx:pt idx="290">0.40000000000000002</cx:pt>
          <cx:pt idx="291">1.3</cx:pt>
          <cx:pt idx="292">2.3999999999999999</cx:pt>
          <cx:pt idx="293">3.8999999999999999</cx:pt>
          <cx:pt idx="294">0</cx:pt>
          <cx:pt idx="295">0</cx:pt>
          <cx:pt idx="296">1.5</cx:pt>
          <cx:pt idx="297">2.2999999999999998</cx:pt>
          <cx:pt idx="298">2</cx:pt>
          <cx:pt idx="299">0</cx:pt>
          <cx:pt idx="300">19.399999999999999</cx:pt>
          <cx:pt idx="301">5.5</cx:pt>
          <cx:pt idx="302">11.4</cx:pt>
          <cx:pt idx="303">17.699999999999999</cx:pt>
          <cx:pt idx="304">2.2000000000000002</cx:pt>
          <cx:pt idx="305">3.7000000000000002</cx:pt>
          <cx:pt idx="306">2.7000000000000002</cx:pt>
          <cx:pt idx="307">1.8999999999999999</cx:pt>
          <cx:pt idx="308">4.2000000000000002</cx:pt>
          <cx:pt idx="309">0.59999999999999998</cx:pt>
          <cx:pt idx="310">27.100000000000001</cx:pt>
          <cx:pt idx="311">1.8</cx:pt>
          <cx:pt idx="312">1</cx:pt>
          <cx:pt idx="313">3.3999999999999999</cx:pt>
          <cx:pt idx="314">12.9</cx:pt>
          <cx:pt idx="315">1.3</cx:pt>
          <cx:pt idx="316">30.699999999999999</cx:pt>
          <cx:pt idx="317">38.299999999999997</cx:pt>
          <cx:pt idx="318">47.5</cx:pt>
          <cx:pt idx="319">56.5</cx:pt>
          <cx:pt idx="320">44.299999999999997</cx:pt>
          <cx:pt idx="321">14.699999999999999</cx:pt>
          <cx:pt idx="322">7.0999999999999996</cx:pt>
          <cx:pt idx="323">24.600000000000001</cx:pt>
          <cx:pt idx="324">23.100000000000001</cx:pt>
          <cx:pt idx="325">32</cx:pt>
          <cx:pt idx="326">27.300000000000001</cx:pt>
          <cx:pt idx="327">21.300000000000001</cx:pt>
          <cx:pt idx="328">42.399999999999999</cx:pt>
          <cx:pt idx="329">15</cx:pt>
          <cx:pt idx="330">26</cx:pt>
          <cx:pt idx="331">24.5</cx:pt>
          <cx:pt idx="332">9.0999999999999996</cx:pt>
          <cx:pt idx="333">34.399999999999999</cx:pt>
          <cx:pt idx="334">29.600000000000001</cx:pt>
          <cx:pt idx="335">25.300000000000001</cx:pt>
          <cx:pt idx="336">21</cx:pt>
          <cx:pt idx="337">48.399999999999999</cx:pt>
          <cx:pt idx="338">25</cx:pt>
          <cx:pt idx="339">32.399999999999999</cx:pt>
          <cx:pt idx="340">30.199999999999999</cx:pt>
          <cx:pt idx="341">21.300000000000001</cx:pt>
          <cx:pt idx="342">37.700000000000003</cx:pt>
          <cx:pt idx="343">23.699999999999999</cx:pt>
          <cx:pt idx="344">25.100000000000001</cx:pt>
          <cx:pt idx="345">50.899999999999999</cx:pt>
          <cx:pt idx="346">39.100000000000001</cx:pt>
          <cx:pt idx="347">57.200000000000003</cx:pt>
          <cx:pt idx="348">42.299999999999997</cx:pt>
          <cx:pt idx="349">27.600000000000001</cx:pt>
          <cx:pt idx="350">13.199999999999999</cx:pt>
          <cx:pt idx="351">19.899999999999999</cx:pt>
          <cx:pt idx="352">24.800000000000001</cx:pt>
          <cx:pt idx="353">16.199999999999999</cx:pt>
          <cx:pt idx="354">19.5</cx:pt>
          <cx:pt idx="355">10.199999999999999</cx:pt>
          <cx:pt idx="356">4.7000000000000002</cx:pt>
          <cx:pt idx="357">21</cx:pt>
          <cx:pt idx="358">25.800000000000001</cx:pt>
          <cx:pt idx="359">32.100000000000001</cx:pt>
          <cx:pt idx="360">19</cx:pt>
          <cx:pt idx="361">45</cx:pt>
          <cx:pt idx="362">34.600000000000001</cx:pt>
          <cx:pt idx="363">16.199999999999999</cx:pt>
          <cx:pt idx="364">7.2999999999999998</cx:pt>
          <cx:pt idx="365">24</cx:pt>
          <cx:pt idx="366">55.5</cx:pt>
          <cx:pt idx="367">35.299999999999997</cx:pt>
          <cx:pt idx="368">29.300000000000001</cx:pt>
          <cx:pt idx="369">59.399999999999999</cx:pt>
          <cx:pt idx="370">6.0999999999999996</cx:pt>
          <cx:pt idx="371">12.5</cx:pt>
          <cx:pt idx="372">0</cx:pt>
          <cx:pt idx="373">6.9000000000000004</cx:pt>
          <cx:pt idx="374">0</cx:pt>
          <cx:pt idx="375">8.5999999999999996</cx:pt>
          <cx:pt idx="376">0</cx:pt>
          <cx:pt idx="377">0</cx:pt>
          <cx:pt idx="378">3.3999999999999999</cx:pt>
          <cx:pt idx="379">0</cx:pt>
          <cx:pt idx="380">3.1000000000000001</cx:pt>
          <cx:pt idx="381">5.5</cx:pt>
          <cx:pt idx="382">18.899999999999999</cx:pt>
          <cx:pt idx="383">25.699999999999999</cx:pt>
          <cx:pt idx="384">3.1000000000000001</cx:pt>
          <cx:pt idx="385">0</cx:pt>
          <cx:pt idx="386">0</cx:pt>
          <cx:pt idx="387">5.0999999999999996</cx:pt>
          <cx:pt idx="388">0</cx:pt>
          <cx:pt idx="389">9.1999999999999993</cx:pt>
          <cx:pt idx="390">9.4000000000000004</cx:pt>
          <cx:pt idx="391">2.7999999999999998</cx:pt>
          <cx:pt idx="392">9.9000000000000004</cx:pt>
          <cx:pt idx="393">4.7000000000000002</cx:pt>
          <cx:pt idx="394">3.7999999999999998</cx:pt>
          <cx:pt idx="395">2</cx:pt>
          <cx:pt idx="396">0.20000000000000001</cx:pt>
          <cx:pt idx="397">3.5</cx:pt>
          <cx:pt idx="398">4.2000000000000002</cx:pt>
          <cx:pt idx="399">0</cx:pt>
          <cx:pt idx="400">0</cx:pt>
          <cx:pt idx="401">7.2000000000000002</cx:pt>
          <cx:pt idx="402">15</cx:pt>
          <cx:pt idx="403">7.0999999999999996</cx:pt>
          <cx:pt idx="404">5.2000000000000002</cx:pt>
          <cx:pt idx="405">4.7000000000000002</cx:pt>
          <cx:pt idx="406">5.0999999999999996</cx:pt>
          <cx:pt idx="407">6.7000000000000002</cx:pt>
          <cx:pt idx="408">2.2000000000000002</cx:pt>
          <cx:pt idx="409">3.3999999999999999</cx:pt>
          <cx:pt idx="410">4.4000000000000004</cx:pt>
          <cx:pt idx="411">0.69999999999999996</cx:pt>
          <cx:pt idx="412">2.2000000000000002</cx:pt>
          <cx:pt idx="413">5.4000000000000004</cx:pt>
          <cx:pt idx="414">3.3999999999999999</cx:pt>
          <cx:pt idx="415">0</cx:pt>
          <cx:pt idx="416">0</cx:pt>
          <cx:pt idx="417">15.199999999999999</cx:pt>
          <cx:pt idx="418">7</cx:pt>
          <cx:pt idx="419">2.1000000000000001</cx:pt>
          <cx:pt idx="420">0.80000000000000004</cx:pt>
          <cx:pt idx="421">4.4000000000000004</cx:pt>
          <cx:pt idx="422">3.8999999999999999</cx:pt>
          <cx:pt idx="423">6.7000000000000002</cx:pt>
          <cx:pt idx="424">0</cx:pt>
          <cx:pt idx="425">2.5</cx:pt>
          <cx:pt idx="426">5.2000000000000002</cx:pt>
          <cx:pt idx="427">1.5</cx:pt>
          <cx:pt idx="428">2.8999999999999999</cx:pt>
          <cx:pt idx="429">5.5</cx:pt>
          <cx:pt idx="430">0.69999999999999996</cx:pt>
          <cx:pt idx="431">9.9000000000000004</cx:pt>
          <cx:pt idx="432">13.5</cx:pt>
          <cx:pt idx="433">10.4</cx:pt>
          <cx:pt idx="434">7.9000000000000004</cx:pt>
          <cx:pt idx="435">1</cx:pt>
          <cx:pt idx="436">0</cx:pt>
          <cx:pt idx="437">4.4000000000000004</cx:pt>
          <cx:pt idx="438">17.899999999999999</cx:pt>
          <cx:pt idx="439">1.3</cx:pt>
          <cx:pt idx="440">1.8999999999999999</cx:pt>
          <cx:pt idx="441">7.0999999999999996</cx:pt>
          <cx:pt idx="442">2.7999999999999998</cx:pt>
          <cx:pt idx="443">0.80000000000000004</cx:pt>
          <cx:pt idx="444">10.9</cx:pt>
          <cx:pt idx="445">4</cx:pt>
          <cx:pt idx="446">0</cx:pt>
          <cx:pt idx="447">1</cx:pt>
          <cx:pt idx="448">2.2999999999999998</cx:pt>
          <cx:pt idx="449">0.5</cx:pt>
          <cx:pt idx="450">2.2999999999999998</cx:pt>
          <cx:pt idx="451">1.8999999999999999</cx:pt>
          <cx:pt idx="452">2.7999999999999998</cx:pt>
          <cx:pt idx="453">3.3999999999999999</cx:pt>
          <cx:pt idx="454">2.7000000000000002</cx:pt>
          <cx:pt idx="455">0</cx:pt>
          <cx:pt idx="456">4.5</cx:pt>
          <cx:pt idx="457">3.1000000000000001</cx:pt>
          <cx:pt idx="458">3.7999999999999998</cx:pt>
          <cx:pt idx="459">1.8</cx:pt>
          <cx:pt idx="460">2.1000000000000001</cx:pt>
          <cx:pt idx="461">2.7999999999999998</cx:pt>
          <cx:pt idx="462">0.29999999999999999</cx:pt>
          <cx:pt idx="463">1.1000000000000001</cx:pt>
          <cx:pt idx="464">0</cx:pt>
          <cx:pt idx="465">4.4000000000000004</cx:pt>
          <cx:pt idx="466">4</cx:pt>
          <cx:pt idx="467">2.5</cx:pt>
          <cx:pt idx="468">5.4000000000000004</cx:pt>
          <cx:pt idx="469">4.7999999999999998</cx:pt>
          <cx:pt idx="470">0.29999999999999999</cx:pt>
          <cx:pt idx="471">0</cx:pt>
          <cx:pt idx="472">0</cx:pt>
          <cx:pt idx="473">3.2999999999999998</cx:pt>
          <cx:pt idx="474">0</cx:pt>
          <cx:pt idx="475">0</cx:pt>
          <cx:pt idx="476">0</cx:pt>
          <cx:pt idx="477">2.2999999999999998</cx:pt>
          <cx:pt idx="478">0</cx:pt>
          <cx:pt idx="479">4</cx:pt>
          <cx:pt idx="480">0</cx:pt>
          <cx:pt idx="481">1.8</cx:pt>
          <cx:pt idx="482">3.7999999999999998</cx:pt>
          <cx:pt idx="483">15.800000000000001</cx:pt>
          <cx:pt idx="484">6.7999999999999998</cx:pt>
          <cx:pt idx="485">1.3999999999999999</cx:pt>
          <cx:pt idx="486">0.90000000000000002</cx:pt>
          <cx:pt idx="487">1.6000000000000001</cx:pt>
          <cx:pt idx="488">2.2999999999999998</cx:pt>
          <cx:pt idx="489">0</cx:pt>
          <cx:pt idx="490">5.2000000000000002</cx:pt>
          <cx:pt idx="491">0</cx:pt>
          <cx:pt idx="492">0</cx:pt>
          <cx:pt idx="493">9.5999999999999996</cx:pt>
          <cx:pt idx="494">0.80000000000000004</cx:pt>
          <cx:pt idx="495">1.6000000000000001</cx:pt>
          <cx:pt idx="496">1.3999999999999999</cx:pt>
          <cx:pt idx="497">0.90000000000000002</cx:pt>
          <cx:pt idx="498">2.1000000000000001</cx:pt>
          <cx:pt idx="499">9.5999999999999996</cx:pt>
          <cx:pt idx="500">0.5</cx:pt>
          <cx:pt idx="501">2.2999999999999998</cx:pt>
          <cx:pt idx="502">0.29999999999999999</cx:pt>
          <cx:pt idx="503">0.69999999999999996</cx:pt>
          <cx:pt idx="504">0.59999999999999998</cx:pt>
          <cx:pt idx="505">0</cx:pt>
          <cx:pt idx="506">3.6000000000000001</cx:pt>
          <cx:pt idx="507">0</cx:pt>
          <cx:pt idx="508">0</cx:pt>
          <cx:pt idx="509">1.3999999999999999</cx:pt>
          <cx:pt idx="510">1.5</cx:pt>
          <cx:pt idx="511">0</cx:pt>
          <cx:pt idx="512">3.6000000000000001</cx:pt>
          <cx:pt idx="513">9.1999999999999993</cx:pt>
          <cx:pt idx="514">14.300000000000001</cx:pt>
          <cx:pt idx="515">2.8999999999999999</cx:pt>
          <cx:pt idx="516">0.80000000000000004</cx:pt>
          <cx:pt idx="517">1.6000000000000001</cx:pt>
          <cx:pt idx="518">2.8999999999999999</cx:pt>
          <cx:pt idx="519">0</cx:pt>
          <cx:pt idx="520">6.9000000000000004</cx:pt>
          <cx:pt idx="521">4</cx:pt>
          <cx:pt idx="522">4</cx:pt>
          <cx:pt idx="523">2.2000000000000002</cx:pt>
          <cx:pt idx="524">14.6</cx:pt>
          <cx:pt idx="525">7.2999999999999998</cx:pt>
          <cx:pt idx="526">5.7000000000000002</cx:pt>
          <cx:pt idx="527">0</cx:pt>
          <cx:pt idx="528">4.9000000000000004</cx:pt>
          <cx:pt idx="529">0</cx:pt>
          <cx:pt idx="530">0</cx:pt>
          <cx:pt idx="531">13.1</cx:pt>
          <cx:pt idx="532">0.59999999999999998</cx:pt>
          <cx:pt idx="533">0.29999999999999999</cx:pt>
          <cx:pt idx="534">0</cx:pt>
          <cx:pt idx="535">12.4</cx:pt>
          <cx:pt idx="536">2.7999999999999998</cx:pt>
          <cx:pt idx="537">1.2</cx:pt>
          <cx:pt idx="538">1.1000000000000001</cx:pt>
          <cx:pt idx="539">6.9000000000000004</cx:pt>
          <cx:pt idx="540">10.699999999999999</cx:pt>
          <cx:pt idx="541">4.5</cx:pt>
          <cx:pt idx="542">2.2999999999999998</cx:pt>
          <cx:pt idx="543">6.4000000000000004</cx:pt>
          <cx:pt idx="544">3.7999999999999998</cx:pt>
          <cx:pt idx="545">2.1000000000000001</cx:pt>
          <cx:pt idx="546">3.6000000000000001</cx:pt>
          <cx:pt idx="547">13.699999999999999</cx:pt>
          <cx:pt idx="548">2.7000000000000002</cx:pt>
          <cx:pt idx="549">0</cx:pt>
          <cx:pt idx="550">6.5999999999999996</cx:pt>
          <cx:pt idx="551">0.29999999999999999</cx:pt>
          <cx:pt idx="552">2.5</cx:pt>
          <cx:pt idx="553">2.1000000000000001</cx:pt>
          <cx:pt idx="554">4</cx:pt>
          <cx:pt idx="555">5.7000000000000002</cx:pt>
          <cx:pt idx="556">0</cx:pt>
          <cx:pt idx="557">0</cx:pt>
          <cx:pt idx="558">0.59999999999999998</cx:pt>
          <cx:pt idx="559">1.3</cx:pt>
          <cx:pt idx="560">5.5999999999999996</cx:pt>
          <cx:pt idx="561">7.4000000000000004</cx:pt>
          <cx:pt idx="562">1.8</cx:pt>
          <cx:pt idx="563">1.7</cx:pt>
          <cx:pt idx="564">1.3999999999999999</cx:pt>
          <cx:pt idx="565">8.3000000000000007</cx:pt>
          <cx:pt idx="566">1.5</cx:pt>
          <cx:pt idx="567">9.5999999999999996</cx:pt>
          <cx:pt idx="568">0.90000000000000002</cx:pt>
          <cx:pt idx="569">7.2000000000000002</cx:pt>
          <cx:pt idx="570">7.5</cx:pt>
          <cx:pt idx="571">0</cx:pt>
          <cx:pt idx="572">5.7999999999999998</cx:pt>
          <cx:pt idx="573">4.5999999999999996</cx:pt>
          <cx:pt idx="574">2.6000000000000001</cx:pt>
          <cx:pt idx="575">1.8999999999999999</cx:pt>
          <cx:pt idx="576">3.8999999999999999</cx:pt>
          <cx:pt idx="577">4.7999999999999998</cx:pt>
          <cx:pt idx="578">13.300000000000001</cx:pt>
          <cx:pt idx="579">0.69999999999999996</cx:pt>
          <cx:pt idx="580">11.199999999999999</cx:pt>
          <cx:pt idx="581">2.7000000000000002</cx:pt>
          <cx:pt idx="582">0</cx:pt>
          <cx:pt idx="583">0</cx:pt>
          <cx:pt idx="584">5.0999999999999996</cx:pt>
          <cx:pt idx="585">6.0999999999999996</cx:pt>
          <cx:pt idx="586">2</cx:pt>
          <cx:pt idx="587">0</cx:pt>
          <cx:pt idx="588">4.2999999999999998</cx:pt>
          <cx:pt idx="589">5</cx:pt>
          <cx:pt idx="590">10.699999999999999</cx:pt>
          <cx:pt idx="591">2</cx:pt>
          <cx:pt idx="592">2.5</cx:pt>
          <cx:pt idx="593">0.10000000000000001</cx:pt>
          <cx:pt idx="594">13.800000000000001</cx:pt>
          <cx:pt idx="595">4.5999999999999996</cx:pt>
          <cx:pt idx="596">3.5</cx:pt>
          <cx:pt idx="597">17</cx:pt>
          <cx:pt idx="598">2.7000000000000002</cx:pt>
          <cx:pt idx="599">4.2999999999999998</cx:pt>
          <cx:pt idx="600">2.5</cx:pt>
          <cx:pt idx="601">7.9000000000000004</cx:pt>
          <cx:pt idx="602">0.69999999999999996</cx:pt>
          <cx:pt idx="603">0.80000000000000004</cx:pt>
          <cx:pt idx="604">3.2000000000000002</cx:pt>
          <cx:pt idx="605">0.59999999999999998</cx:pt>
          <cx:pt idx="606">4.9000000000000004</cx:pt>
          <cx:pt idx="607">0</cx:pt>
          <cx:pt idx="608">0.20000000000000001</cx:pt>
          <cx:pt idx="609">0</cx:pt>
          <cx:pt idx="610">3.3999999999999999</cx:pt>
          <cx:pt idx="611">1.3999999999999999</cx:pt>
          <cx:pt idx="612">4.4000000000000004</cx:pt>
          <cx:pt idx="613">5.9000000000000004</cx:pt>
          <cx:pt idx="614">5.2000000000000002</cx:pt>
          <cx:pt idx="615">16.100000000000001</cx:pt>
          <cx:pt idx="616">8.6999999999999993</cx:pt>
          <cx:pt idx="617">0.5</cx:pt>
          <cx:pt idx="618">0.5</cx:pt>
          <cx:pt idx="619">12.300000000000001</cx:pt>
          <cx:pt idx="620">8.0999999999999996</cx:pt>
          <cx:pt idx="621">4.5999999999999996</cx:pt>
          <cx:pt idx="622">1.7</cx:pt>
          <cx:pt idx="623">0</cx:pt>
          <cx:pt idx="624">8.0999999999999996</cx:pt>
          <cx:pt idx="625">3.7999999999999998</cx:pt>
          <cx:pt idx="626">4.0999999999999996</cx:pt>
          <cx:pt idx="627">0</cx:pt>
          <cx:pt idx="628">0.20000000000000001</cx:pt>
          <cx:pt idx="629">4.0999999999999996</cx:pt>
          <cx:pt idx="630">0</cx:pt>
          <cx:pt idx="631">6.5999999999999996</cx:pt>
          <cx:pt idx="632">6.2999999999999998</cx:pt>
          <cx:pt idx="633">3.5</cx:pt>
          <cx:pt idx="634">8.5999999999999996</cx:pt>
          <cx:pt idx="635">9.0999999999999996</cx:pt>
          <cx:pt idx="636">0.20000000000000001</cx:pt>
          <cx:pt idx="637">0</cx:pt>
          <cx:pt idx="638">10.300000000000001</cx:pt>
          <cx:pt idx="639">21.5</cx:pt>
          <cx:pt idx="640">9.1999999999999993</cx:pt>
          <cx:pt idx="641">0.59999999999999998</cx:pt>
          <cx:pt idx="642">22.699999999999999</cx:pt>
          <cx:pt idx="643">4.2999999999999998</cx:pt>
          <cx:pt idx="644">19.199999999999999</cx:pt>
          <cx:pt idx="645">30.600000000000001</cx:pt>
          <cx:pt idx="646">5.7999999999999998</cx:pt>
          <cx:pt idx="647">1.3999999999999999</cx:pt>
          <cx:pt idx="648">6.2000000000000002</cx:pt>
          <cx:pt idx="649">29.5</cx:pt>
          <cx:pt idx="650">22.100000000000001</cx:pt>
          <cx:pt idx="651">11.699999999999999</cx:pt>
          <cx:pt idx="652">16.699999999999999</cx:pt>
          <cx:pt idx="653">4.4000000000000004</cx:pt>
          <cx:pt idx="654">1.5</cx:pt>
          <cx:pt idx="655">2.2999999999999998</cx:pt>
          <cx:pt idx="656">22.899999999999999</cx:pt>
          <cx:pt idx="657">8.1999999999999993</cx:pt>
          <cx:pt idx="658">13</cx:pt>
          <cx:pt idx="659">3.3999999999999999</cx:pt>
          <cx:pt idx="660">13.5</cx:pt>
          <cx:pt idx="661">2.7999999999999998</cx:pt>
          <cx:pt idx="662">4.0999999999999996</cx:pt>
          <cx:pt idx="663">11.699999999999999</cx:pt>
          <cx:pt idx="664">1.8999999999999999</cx:pt>
          <cx:pt idx="665">19.300000000000001</cx:pt>
          <cx:pt idx="666">13.6</cx:pt>
          <cx:pt idx="667">19</cx:pt>
          <cx:pt idx="668">8.0999999999999996</cx:pt>
          <cx:pt idx="669">9</cx:pt>
          <cx:pt idx="670">11</cx:pt>
          <cx:pt idx="671">8.5999999999999996</cx:pt>
          <cx:pt idx="672">9.6999999999999993</cx:pt>
          <cx:pt idx="673">10</cx:pt>
          <cx:pt idx="674">16.100000000000001</cx:pt>
          <cx:pt idx="675">14.199999999999999</cx:pt>
          <cx:pt idx="676">3.7999999999999998</cx:pt>
          <cx:pt idx="677">9.6999999999999993</cx:pt>
          <cx:pt idx="678">5.9000000000000004</cx:pt>
          <cx:pt idx="679">7.5999999999999996</cx:pt>
          <cx:pt idx="680">4.7000000000000002</cx:pt>
          <cx:pt idx="681">7.7000000000000002</cx:pt>
          <cx:pt idx="682">6.5999999999999996</cx:pt>
          <cx:pt idx="683">8.6999999999999993</cx:pt>
          <cx:pt idx="684">0.69999999999999996</cx:pt>
          <cx:pt idx="685">0.90000000000000002</cx:pt>
          <cx:pt idx="686">0.69999999999999996</cx:pt>
          <cx:pt idx="687">1.1000000000000001</cx:pt>
          <cx:pt idx="688">9.9000000000000004</cx:pt>
          <cx:pt idx="689">11.699999999999999</cx:pt>
          <cx:pt idx="690">6.0999999999999996</cx:pt>
          <cx:pt idx="691">3.1000000000000001</cx:pt>
          <cx:pt idx="692">12.800000000000001</cx:pt>
          <cx:pt idx="693">7.5999999999999996</cx:pt>
          <cx:pt idx="694">4.5999999999999996</cx:pt>
          <cx:pt idx="695">5.2999999999999998</cx:pt>
          <cx:pt idx="696">8.5</cx:pt>
          <cx:pt idx="697">9.1999999999999993</cx:pt>
          <cx:pt idx="698">15.699999999999999</cx:pt>
          <cx:pt idx="699">9</cx:pt>
          <cx:pt idx="700">12.9</cx:pt>
          <cx:pt idx="701">7.9000000000000004</cx:pt>
          <cx:pt idx="702">12.9</cx:pt>
          <cx:pt idx="703">13.699999999999999</cx:pt>
          <cx:pt idx="704">18.800000000000001</cx:pt>
          <cx:pt idx="705">23.300000000000001</cx:pt>
          <cx:pt idx="706">10.300000000000001</cx:pt>
          <cx:pt idx="707">0</cx:pt>
          <cx:pt idx="708">22.699999999999999</cx:pt>
          <cx:pt idx="709">4.9000000000000004</cx:pt>
          <cx:pt idx="710">11.199999999999999</cx:pt>
          <cx:pt idx="711">21.199999999999999</cx:pt>
          <cx:pt idx="712">19.899999999999999</cx:pt>
          <cx:pt idx="713">54.5</cx:pt>
          <cx:pt idx="714">17.300000000000001</cx:pt>
          <cx:pt idx="715">5.4000000000000004</cx:pt>
          <cx:pt idx="716">15.4</cx:pt>
          <cx:pt idx="717">8.1999999999999993</cx:pt>
          <cx:pt idx="718">5.2999999999999998</cx:pt>
          <cx:pt idx="719">6.9000000000000004</cx:pt>
          <cx:pt idx="720">5</cx:pt>
          <cx:pt idx="721">4.2999999999999998</cx:pt>
          <cx:pt idx="722">0.90000000000000002</cx:pt>
          <cx:pt idx="723">10.1</cx:pt>
          <cx:pt idx="724">2.2999999999999998</cx:pt>
          <cx:pt idx="725">4.4000000000000004</cx:pt>
          <cx:pt idx="726">2.5</cx:pt>
          <cx:pt idx="727">9.1999999999999993</cx:pt>
          <cx:pt idx="728">7.2999999999999998</cx:pt>
          <cx:pt idx="729">6.2000000000000002</cx:pt>
          <cx:pt idx="730">4.4000000000000004</cx:pt>
          <cx:pt idx="731">9.4000000000000004</cx:pt>
          <cx:pt idx="732">9.8000000000000007</cx:pt>
          <cx:pt idx="733">12.5</cx:pt>
          <cx:pt idx="734">6.4000000000000004</cx:pt>
          <cx:pt idx="735">9.8000000000000007</cx:pt>
          <cx:pt idx="736">3.6000000000000001</cx:pt>
          <cx:pt idx="737">18.699999999999999</cx:pt>
          <cx:pt idx="738">1</cx:pt>
          <cx:pt idx="739">18.800000000000001</cx:pt>
          <cx:pt idx="740">20.399999999999999</cx:pt>
          <cx:pt idx="741">30.699999999999999</cx:pt>
          <cx:pt idx="742">23.399999999999999</cx:pt>
          <cx:pt idx="743">3.8999999999999999</cx:pt>
          <cx:pt idx="744">16.399999999999999</cx:pt>
          <cx:pt idx="745">11.800000000000001</cx:pt>
          <cx:pt idx="746">19.800000000000001</cx:pt>
          <cx:pt idx="747">4.5999999999999996</cx:pt>
          <cx:pt idx="748">5.9000000000000004</cx:pt>
          <cx:pt idx="749">9.8000000000000007</cx:pt>
          <cx:pt idx="750">8.4000000000000004</cx:pt>
          <cx:pt idx="751">0.69999999999999996</cx:pt>
          <cx:pt idx="752">0</cx:pt>
          <cx:pt idx="753">4.2000000000000002</cx:pt>
          <cx:pt idx="754">0.69999999999999996</cx:pt>
          <cx:pt idx="755">12.4</cx:pt>
          <cx:pt idx="756">17.399999999999999</cx:pt>
          <cx:pt idx="757">10.1</cx:pt>
          <cx:pt idx="758">2.3999999999999999</cx:pt>
          <cx:pt idx="759">2.5</cx:pt>
          <cx:pt idx="760">26.399999999999999</cx:pt>
          <cx:pt idx="761">16.800000000000001</cx:pt>
          <cx:pt idx="762">15.300000000000001</cx:pt>
          <cx:pt idx="763">18.5</cx:pt>
          <cx:pt idx="764">21.100000000000001</cx:pt>
          <cx:pt idx="765">14.199999999999999</cx:pt>
          <cx:pt idx="766">18.600000000000001</cx:pt>
          <cx:pt idx="767">1.6000000000000001</cx:pt>
          <cx:pt idx="768">0.20000000000000001</cx:pt>
          <cx:pt idx="769">10.800000000000001</cx:pt>
          <cx:pt idx="770">12.4</cx:pt>
          <cx:pt idx="771">0</cx:pt>
          <cx:pt idx="772">6.9000000000000004</cx:pt>
          <cx:pt idx="773">0</cx:pt>
          <cx:pt idx="774">4</cx:pt>
          <cx:pt idx="775">6.0999999999999996</cx:pt>
          <cx:pt idx="776">7.7000000000000002</cx:pt>
          <cx:pt idx="777">1.6000000000000001</cx:pt>
          <cx:pt idx="778">5.2999999999999998</cx:pt>
          <cx:pt idx="779">3.6000000000000001</cx:pt>
          <cx:pt idx="780">1.3999999999999999</cx:pt>
          <cx:pt idx="781">4.7999999999999998</cx:pt>
          <cx:pt idx="782">0.69999999999999996</cx:pt>
          <cx:pt idx="783">5.4000000000000004</cx:pt>
          <cx:pt idx="784">0</cx:pt>
          <cx:pt idx="785">3.7999999999999998</cx:pt>
          <cx:pt idx="786">14.300000000000001</cx:pt>
          <cx:pt idx="787">10.4</cx:pt>
          <cx:pt idx="788">0</cx:pt>
          <cx:pt idx="789">4.9000000000000004</cx:pt>
          <cx:pt idx="790">3.2999999999999998</cx:pt>
          <cx:pt idx="791">6.7999999999999998</cx:pt>
          <cx:pt idx="792">4.5999999999999996</cx:pt>
          <cx:pt idx="793">10.800000000000001</cx:pt>
          <cx:pt idx="794">5.4000000000000004</cx:pt>
          <cx:pt idx="795">14.5</cx:pt>
          <cx:pt idx="796">26.5</cx:pt>
          <cx:pt idx="797">7.7999999999999998</cx:pt>
          <cx:pt idx="798">15.4</cx:pt>
          <cx:pt idx="799">3.2000000000000002</cx:pt>
          <cx:pt idx="800">7.5999999999999996</cx:pt>
          <cx:pt idx="801">13.5</cx:pt>
          <cx:pt idx="802">1.6000000000000001</cx:pt>
          <cx:pt idx="803">3.1000000000000001</cx:pt>
          <cx:pt idx="804">9.5999999999999996</cx:pt>
          <cx:pt idx="805">3.8999999999999999</cx:pt>
          <cx:pt idx="806">5.2000000000000002</cx:pt>
          <cx:pt idx="807">8.1999999999999993</cx:pt>
          <cx:pt idx="808">3.8999999999999999</cx:pt>
          <cx:pt idx="809">0.90000000000000002</cx:pt>
          <cx:pt idx="810">2.5</cx:pt>
          <cx:pt idx="811">9.0999999999999996</cx:pt>
          <cx:pt idx="812">1.1000000000000001</cx:pt>
          <cx:pt idx="813">0.69999999999999996</cx:pt>
          <cx:pt idx="814">7.9000000000000004</cx:pt>
          <cx:pt idx="815">2.3999999999999999</cx:pt>
          <cx:pt idx="816">4</cx:pt>
          <cx:pt idx="817">4</cx:pt>
          <cx:pt idx="818">0</cx:pt>
          <cx:pt idx="819">0</cx:pt>
          <cx:pt idx="820">4.7000000000000002</cx:pt>
          <cx:pt idx="821">7.5</cx:pt>
          <cx:pt idx="822">3.1000000000000001</cx:pt>
          <cx:pt idx="823">10</cx:pt>
          <cx:pt idx="824">1.3</cx:pt>
          <cx:pt idx="825">2.3999999999999999</cx:pt>
          <cx:pt idx="826">0</cx:pt>
          <cx:pt idx="827">6.2000000000000002</cx:pt>
          <cx:pt idx="828">60.5</cx:pt>
          <cx:pt idx="829">35.200000000000003</cx:pt>
          <cx:pt idx="830">53.700000000000003</cx:pt>
          <cx:pt idx="831">66.599999999999994</cx:pt>
          <cx:pt idx="832">4.9000000000000004</cx:pt>
          <cx:pt idx="833">6</cx:pt>
          <cx:pt idx="834">39.299999999999997</cx:pt>
          <cx:pt idx="835">11.5</cx:pt>
          <cx:pt idx="836">9.4000000000000004</cx:pt>
          <cx:pt idx="837">36.399999999999999</cx:pt>
          <cx:pt idx="838">49.799999999999997</cx:pt>
          <cx:pt idx="839">66.200000000000003</cx:pt>
          <cx:pt idx="840">36.200000000000003</cx:pt>
          <cx:pt idx="841">50.799999999999997</cx:pt>
          <cx:pt idx="842">61.600000000000001</cx:pt>
          <cx:pt idx="843">56.5</cx:pt>
          <cx:pt idx="844">54.200000000000003</cx:pt>
          <cx:pt idx="845">26.899999999999999</cx:pt>
          <cx:pt idx="846">16.300000000000001</cx:pt>
          <cx:pt idx="847">25.699999999999999</cx:pt>
          <cx:pt idx="848">32.200000000000003</cx:pt>
          <cx:pt idx="849">32</cx:pt>
          <cx:pt idx="850">27.800000000000001</cx:pt>
          <cx:pt idx="851">5.5999999999999996</cx:pt>
          <cx:pt idx="852">0</cx:pt>
          <cx:pt idx="853">5.9000000000000004</cx:pt>
          <cx:pt idx="854">20.600000000000001</cx:pt>
          <cx:pt idx="855">12.5</cx:pt>
          <cx:pt idx="856">19.600000000000001</cx:pt>
          <cx:pt idx="857">36.100000000000001</cx:pt>
          <cx:pt idx="858">10.199999999999999</cx:pt>
          <cx:pt idx="859">16.300000000000001</cx:pt>
          <cx:pt idx="860">47.799999999999997</cx:pt>
          <cx:pt idx="861">25.5</cx:pt>
          <cx:pt idx="862">30</cx:pt>
          <cx:pt idx="863">51.600000000000001</cx:pt>
          <cx:pt idx="864">35</cx:pt>
          <cx:pt idx="865">14.9</cx:pt>
          <cx:pt idx="866">37.5</cx:pt>
          <cx:pt idx="867">59.899999999999999</cx:pt>
          <cx:pt idx="868">55.100000000000001</cx:pt>
          <cx:pt idx="869">52.200000000000003</cx:pt>
          <cx:pt idx="870">61.200000000000003</cx:pt>
          <cx:pt idx="871">66.700000000000003</cx:pt>
          <cx:pt idx="872">51.100000000000001</cx:pt>
          <cx:pt idx="873">15.300000000000001</cx:pt>
          <cx:pt idx="874">9.9000000000000004</cx:pt>
          <cx:pt idx="875">32</cx:pt>
          <cx:pt idx="876">61.299999999999997</cx:pt>
          <cx:pt idx="877">22.600000000000001</cx:pt>
          <cx:pt idx="878">9.9000000000000004</cx:pt>
          <cx:pt idx="879">0</cx:pt>
          <cx:pt idx="880">6.7999999999999998</cx:pt>
          <cx:pt idx="881">42.799999999999997</cx:pt>
          <cx:pt idx="882">50</cx:pt>
          <cx:pt idx="883">13.9</cx:pt>
          <cx:pt idx="884">26.399999999999999</cx:pt>
          <cx:pt idx="885">4.7000000000000002</cx:pt>
          <cx:pt idx="886">26.800000000000001</cx:pt>
          <cx:pt idx="887">38.600000000000001</cx:pt>
          <cx:pt idx="888">44.200000000000003</cx:pt>
          <cx:pt idx="889">0</cx:pt>
          <cx:pt idx="890">41.100000000000001</cx:pt>
          <cx:pt idx="891">30.300000000000001</cx:pt>
          <cx:pt idx="892">9.5</cx:pt>
          <cx:pt idx="893">13.5</cx:pt>
          <cx:pt idx="894">3.2000000000000002</cx:pt>
          <cx:pt idx="895">25.699999999999999</cx:pt>
          <cx:pt idx="896">6.7000000000000002</cx:pt>
          <cx:pt idx="897">16.899999999999999</cx:pt>
          <cx:pt idx="898">0</cx:pt>
          <cx:pt idx="899">2.2000000000000002</cx:pt>
          <cx:pt idx="900">4</cx:pt>
          <cx:pt idx="901">4.0999999999999996</cx:pt>
          <cx:pt idx="902">9.5999999999999996</cx:pt>
          <cx:pt idx="903">4.4000000000000004</cx:pt>
          <cx:pt idx="904">7.9000000000000004</cx:pt>
          <cx:pt idx="905">4</cx:pt>
          <cx:pt idx="906">9.9000000000000004</cx:pt>
          <cx:pt idx="907">0</cx:pt>
          <cx:pt idx="908">3.8999999999999999</cx:pt>
          <cx:pt idx="909">6.0999999999999996</cx:pt>
          <cx:pt idx="910">3.7999999999999998</cx:pt>
          <cx:pt idx="911">5.2999999999999998</cx:pt>
          <cx:pt idx="912">1</cx:pt>
          <cx:pt idx="913">8.5999999999999996</cx:pt>
          <cx:pt idx="914">0</cx:pt>
          <cx:pt idx="915">1.8</cx:pt>
          <cx:pt idx="916">16.600000000000001</cx:pt>
          <cx:pt idx="917">15.5</cx:pt>
          <cx:pt idx="918">14.300000000000001</cx:pt>
          <cx:pt idx="919">7.9000000000000004</cx:pt>
          <cx:pt idx="920">15.699999999999999</cx:pt>
          <cx:pt idx="921">34.299999999999997</cx:pt>
          <cx:pt idx="922">11.6</cx:pt>
          <cx:pt idx="923">18.800000000000001</cx:pt>
          <cx:pt idx="924">24</cx:pt>
          <cx:pt idx="925">9.5</cx:pt>
          <cx:pt idx="926">10.300000000000001</cx:pt>
          <cx:pt idx="927">39.700000000000003</cx:pt>
          <cx:pt idx="928">6.7000000000000002</cx:pt>
          <cx:pt idx="929">2.3999999999999999</cx:pt>
          <cx:pt idx="930">4.7999999999999998</cx:pt>
          <cx:pt idx="931">2.6000000000000001</cx:pt>
          <cx:pt idx="932">38.600000000000001</cx:pt>
          <cx:pt idx="933">2.6000000000000001</cx:pt>
          <cx:pt idx="934">17.300000000000001</cx:pt>
          <cx:pt idx="935">3.2999999999999998</cx:pt>
          <cx:pt idx="936">7.2000000000000002</cx:pt>
          <cx:pt idx="937">9</cx:pt>
          <cx:pt idx="938">5.7999999999999998</cx:pt>
          <cx:pt idx="939">21.899999999999999</cx:pt>
          <cx:pt idx="940">27.199999999999999</cx:pt>
          <cx:pt idx="941">7.7999999999999998</cx:pt>
          <cx:pt idx="942">0.80000000000000004</cx:pt>
          <cx:pt idx="943">21.199999999999999</cx:pt>
          <cx:pt idx="944">11</cx:pt>
          <cx:pt idx="945">0</cx:pt>
          <cx:pt idx="946">2.2000000000000002</cx:pt>
          <cx:pt idx="947">8</cx:pt>
          <cx:pt idx="948">4.2999999999999998</cx:pt>
          <cx:pt idx="949">5</cx:pt>
          <cx:pt idx="950">9.5999999999999996</cx:pt>
          <cx:pt idx="951">2.7999999999999998</cx:pt>
          <cx:pt idx="952">5.9000000000000004</cx:pt>
          <cx:pt idx="953">8.9000000000000004</cx:pt>
          <cx:pt idx="954">4.0999999999999996</cx:pt>
          <cx:pt idx="955">2.2999999999999998</cx:pt>
          <cx:pt idx="956">3.2999999999999998</cx:pt>
          <cx:pt idx="957">11.300000000000001</cx:pt>
          <cx:pt idx="958">3.2999999999999998</cx:pt>
          <cx:pt idx="959">7.5</cx:pt>
          <cx:pt idx="960">8.8000000000000007</cx:pt>
          <cx:pt idx="961">5.5</cx:pt>
          <cx:pt idx="962">4.7000000000000002</cx:pt>
          <cx:pt idx="963">11.9</cx:pt>
          <cx:pt idx="964">9.9000000000000004</cx:pt>
          <cx:pt idx="965">13.6</cx:pt>
          <cx:pt idx="966">3.7000000000000002</cx:pt>
          <cx:pt idx="967">4.0999999999999996</cx:pt>
          <cx:pt idx="968">6.5</cx:pt>
          <cx:pt idx="969">16</cx:pt>
          <cx:pt idx="970">8.8000000000000007</cx:pt>
          <cx:pt idx="971">7.5</cx:pt>
          <cx:pt idx="972">7.7999999999999998</cx:pt>
          <cx:pt idx="973">6.4000000000000004</cx:pt>
          <cx:pt idx="974">9.0999999999999996</cx:pt>
          <cx:pt idx="975">5</cx:pt>
          <cx:pt idx="976">9.0999999999999996</cx:pt>
          <cx:pt idx="977">8.0999999999999996</cx:pt>
          <cx:pt idx="978">12.800000000000001</cx:pt>
          <cx:pt idx="979">3.7000000000000002</cx:pt>
          <cx:pt idx="980">4.7999999999999998</cx:pt>
          <cx:pt idx="981">3.7999999999999998</cx:pt>
          <cx:pt idx="982">31.300000000000001</cx:pt>
          <cx:pt idx="983">6.4000000000000004</cx:pt>
          <cx:pt idx="984">5</cx:pt>
          <cx:pt idx="985">4.4000000000000004</cx:pt>
          <cx:pt idx="986">4.0999999999999996</cx:pt>
          <cx:pt idx="987">1.5</cx:pt>
          <cx:pt idx="988">25.300000000000001</cx:pt>
          <cx:pt idx="989">5.7000000000000002</cx:pt>
          <cx:pt idx="990">9</cx:pt>
          <cx:pt idx="991">2.2000000000000002</cx:pt>
          <cx:pt idx="992">3.3999999999999999</cx:pt>
          <cx:pt idx="993">2.5</cx:pt>
          <cx:pt idx="994">10.6</cx:pt>
          <cx:pt idx="995">6.5999999999999996</cx:pt>
          <cx:pt idx="996">6.2999999999999998</cx:pt>
          <cx:pt idx="997">8.0999999999999996</cx:pt>
          <cx:pt idx="998">3.7999999999999998</cx:pt>
          <cx:pt idx="999">3.8999999999999999</cx:pt>
          <cx:pt idx="1000">18.600000000000001</cx:pt>
          <cx:pt idx="1001">4.0999999999999996</cx:pt>
          <cx:pt idx="1002">2.5</cx:pt>
          <cx:pt idx="1003">2.7999999999999998</cx:pt>
          <cx:pt idx="1004">23.600000000000001</cx:pt>
          <cx:pt idx="1005">16.399999999999999</cx:pt>
          <cx:pt idx="1006">5.5</cx:pt>
          <cx:pt idx="1007">1.5</cx:pt>
          <cx:pt idx="1008">3.7999999999999998</cx:pt>
          <cx:pt idx="1009">6.7000000000000002</cx:pt>
          <cx:pt idx="1010">23.600000000000001</cx:pt>
          <cx:pt idx="1011">6.7999999999999998</cx:pt>
          <cx:pt idx="1012">7</cx:pt>
        </cx:lvl>
      </cx:numDim>
    </cx:data>
  </cx:chartData>
  <cx:chart>
    <cx:title pos="t" align="ctr" overlay="0">
      <cx:tx>
        <cx:txData>
          <cx:v>Frequency of % Refused Students taking ELA Test by School</cx:v>
        </cx:txData>
      </cx:tx>
      <cx:txPr>
        <a:bodyPr spcFirstLastPara="1" vertOverflow="ellipsis" horzOverflow="overflow" wrap="square" lIns="0" tIns="0" rIns="0" bIns="0" anchor="ctr" anchorCtr="1"/>
        <a:lstStyle/>
        <a:p>
          <a:pPr algn="ctr" rtl="0">
            <a:defRPr>
              <a:latin typeface="+mn-lt"/>
            </a:defRPr>
          </a:pPr>
          <a:r>
            <a:rPr lang="en-US" sz="1400" b="0" i="0" u="none" strike="noStrike" baseline="0">
              <a:solidFill>
                <a:sysClr val="windowText" lastClr="000000">
                  <a:lumMod val="65000"/>
                  <a:lumOff val="35000"/>
                </a:sysClr>
              </a:solidFill>
              <a:latin typeface="+mn-lt"/>
            </a:rPr>
            <a:t>Frequency of % Refused Students taking ELA Test by School</a:t>
          </a:r>
        </a:p>
      </cx:txPr>
    </cx:title>
    <cx:plotArea>
      <cx:plotAreaRegion>
        <cx:series layoutId="clusteredColumn" uniqueId="{8B70AB7C-BA04-7140-92C0-2DDF0B8EA044}">
          <cx:tx>
            <cx:txData>
              <cx:f>ELA!$F$1</cx:f>
              <cx:v/>
            </cx:txData>
          </cx:tx>
          <cx:dataId val="0"/>
          <cx:layoutPr>
            <cx:binning intervalClosed="r"/>
          </cx:layoutPr>
        </cx:series>
      </cx:plotAreaRegion>
      <cx:axis id="0">
        <cx:catScaling gapWidth="0"/>
        <cx:title>
          <cx:tx>
            <cx:txData>
              <cx:v>Percent refused (%)</cx:v>
            </cx:txData>
          </cx:tx>
          <cx:txPr>
            <a:bodyPr spcFirstLastPara="1" vertOverflow="ellipsis" horzOverflow="overflow" wrap="square" lIns="0" tIns="0" rIns="0" bIns="0" anchor="ctr" anchorCtr="1"/>
            <a:lstStyle/>
            <a:p>
              <a:pPr algn="ctr" rtl="0">
                <a:defRPr>
                  <a:latin typeface="+mn-lt"/>
                </a:defRPr>
              </a:pPr>
              <a:r>
                <a:rPr lang="en-US" sz="900" b="0" i="0" u="none" strike="noStrike" baseline="0">
                  <a:solidFill>
                    <a:sysClr val="windowText" lastClr="000000">
                      <a:lumMod val="65000"/>
                      <a:lumOff val="35000"/>
                    </a:sysClr>
                  </a:solidFill>
                  <a:latin typeface="+mn-lt"/>
                </a:rPr>
                <a:t>Percent refused (%)</a:t>
              </a:r>
            </a:p>
          </cx:txPr>
        </cx:title>
        <cx:tickLabels/>
        <cx:txPr>
          <a:bodyPr vertOverflow="overflow" horzOverflow="overflow" wrap="square" lIns="0" tIns="0" rIns="0" bIns="0"/>
          <a:lstStyle/>
          <a:p>
            <a:pPr algn="ctr" rtl="0">
              <a:defRPr sz="900" b="0" i="0">
                <a:solidFill>
                  <a:srgbClr val="595959"/>
                </a:solidFill>
                <a:latin typeface="+mn-lt"/>
                <a:ea typeface="Times New Roman" panose="02020603050405020304" pitchFamily="18" charset="0"/>
                <a:cs typeface="Times New Roman" panose="02020603050405020304" pitchFamily="18" charset="0"/>
              </a:defRPr>
            </a:pPr>
            <a:endParaRPr lang="en-US">
              <a:latin typeface="+mn-lt"/>
            </a:endParaRPr>
          </a:p>
        </cx:txPr>
      </cx:axis>
      <cx:axis id="1">
        <cx:valScaling/>
        <cx:title>
          <cx:tx>
            <cx:txData>
              <cx:v>Frequency</cx:v>
            </cx:txData>
          </cx:tx>
          <cx:txPr>
            <a:bodyPr spcFirstLastPara="1" vertOverflow="ellipsis" horzOverflow="overflow" wrap="square" lIns="0" tIns="0" rIns="0" bIns="0" anchor="ctr" anchorCtr="1"/>
            <a:lstStyle/>
            <a:p>
              <a:pPr algn="ctr" rtl="0">
                <a:defRPr>
                  <a:latin typeface="+mn-lt"/>
                </a:defRPr>
              </a:pPr>
              <a:r>
                <a:rPr lang="en-US" sz="900" b="0" i="0" u="none" strike="noStrike" baseline="0">
                  <a:solidFill>
                    <a:sysClr val="windowText" lastClr="000000">
                      <a:lumMod val="65000"/>
                      <a:lumOff val="35000"/>
                    </a:sysClr>
                  </a:solidFill>
                  <a:latin typeface="+mn-lt"/>
                </a:rPr>
                <a:t>Frequency</a:t>
              </a:r>
            </a:p>
          </cx:txPr>
        </cx:title>
        <cx:majorGridlines/>
        <cx:tickLabels/>
        <cx:txPr>
          <a:bodyPr vertOverflow="overflow" horzOverflow="overflow" wrap="square" lIns="0" tIns="0" rIns="0" bIns="0"/>
          <a:lstStyle/>
          <a:p>
            <a:pPr algn="ctr" rtl="0">
              <a:defRPr sz="900" b="0" i="0">
                <a:solidFill>
                  <a:srgbClr val="595959"/>
                </a:solidFill>
                <a:latin typeface="+mn-lt"/>
                <a:ea typeface="Times New Roman" panose="02020603050405020304" pitchFamily="18" charset="0"/>
                <a:cs typeface="Times New Roman" panose="02020603050405020304" pitchFamily="18" charset="0"/>
              </a:defRPr>
            </a:pPr>
            <a:endParaRPr lang="en-US">
              <a:latin typeface="+mn-lt"/>
            </a:endParaRPr>
          </a:p>
        </cx:txPr>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ELA!$F$2:$F$1014</cx:f>
        <cx:lvl ptCount="1013" formatCode="G/通用格式">
          <cx:pt idx="0">0</cx:pt>
          <cx:pt idx="1">11.9</cx:pt>
          <cx:pt idx="2">4.4000000000000004</cx:pt>
          <cx:pt idx="3">0.80000000000000004</cx:pt>
          <cx:pt idx="4">1.8</cx:pt>
          <cx:pt idx="5">0</cx:pt>
          <cx:pt idx="6">0.80000000000000004</cx:pt>
          <cx:pt idx="7">1.3</cx:pt>
          <cx:pt idx="8">0</cx:pt>
          <cx:pt idx="9">0</cx:pt>
          <cx:pt idx="10">0.29999999999999999</cx:pt>
          <cx:pt idx="11">7.5999999999999996</cx:pt>
          <cx:pt idx="12">19</cx:pt>
          <cx:pt idx="13">1.8</cx:pt>
          <cx:pt idx="14">9.9000000000000004</cx:pt>
          <cx:pt idx="15">1.8</cx:pt>
          <cx:pt idx="16">6</cx:pt>
          <cx:pt idx="17">8.4000000000000004</cx:pt>
          <cx:pt idx="18">5.5</cx:pt>
          <cx:pt idx="19">13.1</cx:pt>
          <cx:pt idx="20">2</cx:pt>
          <cx:pt idx="21">4.5999999999999996</cx:pt>
          <cx:pt idx="22">1</cx:pt>
          <cx:pt idx="23">11.6</cx:pt>
          <cx:pt idx="24">7.9000000000000004</cx:pt>
          <cx:pt idx="25">0</cx:pt>
          <cx:pt idx="26">0</cx:pt>
          <cx:pt idx="27">2.5</cx:pt>
          <cx:pt idx="28">1.5</cx:pt>
          <cx:pt idx="29">10.800000000000001</cx:pt>
          <cx:pt idx="30">4.5999999999999996</cx:pt>
          <cx:pt idx="31">3.1000000000000001</cx:pt>
          <cx:pt idx="32">3.7000000000000002</cx:pt>
          <cx:pt idx="33">3.2999999999999998</cx:pt>
          <cx:pt idx="34">4.5999999999999996</cx:pt>
          <cx:pt idx="35">0.40000000000000002</cx:pt>
          <cx:pt idx="36">5.9000000000000004</cx:pt>
          <cx:pt idx="37">2.7999999999999998</cx:pt>
          <cx:pt idx="38">5.7000000000000002</cx:pt>
          <cx:pt idx="39">6.2000000000000002</cx:pt>
          <cx:pt idx="40">8.3000000000000007</cx:pt>
          <cx:pt idx="41">9.1999999999999993</cx:pt>
          <cx:pt idx="42">6.7000000000000002</cx:pt>
          <cx:pt idx="43">3.5</cx:pt>
          <cx:pt idx="44">4.0999999999999996</cx:pt>
          <cx:pt idx="45">0</cx:pt>
          <cx:pt idx="46">3</cx:pt>
          <cx:pt idx="47">9.5</cx:pt>
          <cx:pt idx="48">3.7999999999999998</cx:pt>
          <cx:pt idx="49">3.3999999999999999</cx:pt>
          <cx:pt idx="50">19.699999999999999</cx:pt>
          <cx:pt idx="51">11.4</cx:pt>
          <cx:pt idx="52">4.2000000000000002</cx:pt>
          <cx:pt idx="53">0.69999999999999996</cx:pt>
          <cx:pt idx="54">2.6000000000000001</cx:pt>
          <cx:pt idx="55">0</cx:pt>
          <cx:pt idx="56">2.8999999999999999</cx:pt>
          <cx:pt idx="57">16.699999999999999</cx:pt>
          <cx:pt idx="58">5.7999999999999998</cx:pt>
          <cx:pt idx="59">2.6000000000000001</cx:pt>
          <cx:pt idx="60">0.5</cx:pt>
          <cx:pt idx="61">1</cx:pt>
          <cx:pt idx="62">2.8999999999999999</cx:pt>
          <cx:pt idx="63">3.5</cx:pt>
          <cx:pt idx="64">3.6000000000000001</cx:pt>
          <cx:pt idx="65">2</cx:pt>
          <cx:pt idx="66">3.7000000000000002</cx:pt>
          <cx:pt idx="67">3.8999999999999999</cx:pt>
          <cx:pt idx="68">3.7000000000000002</cx:pt>
          <cx:pt idx="69">0.40000000000000002</cx:pt>
          <cx:pt idx="70">0</cx:pt>
          <cx:pt idx="71">2.2999999999999998</cx:pt>
          <cx:pt idx="72">1.6000000000000001</cx:pt>
          <cx:pt idx="73">8.8000000000000007</cx:pt>
          <cx:pt idx="74">12.199999999999999</cx:pt>
          <cx:pt idx="75">17</cx:pt>
          <cx:pt idx="76">1.6000000000000001</cx:pt>
          <cx:pt idx="77">1.8</cx:pt>
          <cx:pt idx="78">15</cx:pt>
          <cx:pt idx="79">4.2999999999999998</cx:pt>
          <cx:pt idx="80">0</cx:pt>
          <cx:pt idx="81">3.6000000000000001</cx:pt>
          <cx:pt idx="82">8.1999999999999993</cx:pt>
          <cx:pt idx="83">0.5</cx:pt>
          <cx:pt idx="84">0.40000000000000002</cx:pt>
          <cx:pt idx="85">9.6999999999999993</cx:pt>
          <cx:pt idx="86">2.1000000000000001</cx:pt>
          <cx:pt idx="87">11.1</cx:pt>
          <cx:pt idx="88">12.4</cx:pt>
          <cx:pt idx="89">8.5999999999999996</cx:pt>
          <cx:pt idx="90">7.0999999999999996</cx:pt>
          <cx:pt idx="91">10.1</cx:pt>
          <cx:pt idx="92">2.2999999999999998</cx:pt>
          <cx:pt idx="93">10.300000000000001</cx:pt>
          <cx:pt idx="94">3.2999999999999998</cx:pt>
          <cx:pt idx="95">3</cx:pt>
          <cx:pt idx="96">19.100000000000001</cx:pt>
          <cx:pt idx="97">14.800000000000001</cx:pt>
          <cx:pt idx="98">7.0999999999999996</cx:pt>
          <cx:pt idx="99">12.9</cx:pt>
          <cx:pt idx="100">6.7999999999999998</cx:pt>
          <cx:pt idx="101">28.399999999999999</cx:pt>
          <cx:pt idx="102">14.300000000000001</cx:pt>
          <cx:pt idx="103">2.8999999999999999</cx:pt>
          <cx:pt idx="104">10.300000000000001</cx:pt>
          <cx:pt idx="105">22.399999999999999</cx:pt>
          <cx:pt idx="106">9.9000000000000004</cx:pt>
          <cx:pt idx="107">11.4</cx:pt>
          <cx:pt idx="108">2.2000000000000002</cx:pt>
          <cx:pt idx="109">5.0999999999999996</cx:pt>
          <cx:pt idx="110">5</cx:pt>
          <cx:pt idx="111">4.9000000000000004</cx:pt>
          <cx:pt idx="112">5.5</cx:pt>
          <cx:pt idx="113">6.2999999999999998</cx:pt>
          <cx:pt idx="114">4.9000000000000004</cx:pt>
          <cx:pt idx="115">12.800000000000001</cx:pt>
          <cx:pt idx="116">8.4000000000000004</cx:pt>
          <cx:pt idx="117">7</cx:pt>
          <cx:pt idx="118">5.9000000000000004</cx:pt>
          <cx:pt idx="119">16.5</cx:pt>
          <cx:pt idx="120">3.2999999999999998</cx:pt>
          <cx:pt idx="121">3</cx:pt>
          <cx:pt idx="122">9.8000000000000007</cx:pt>
          <cx:pt idx="123">10.699999999999999</cx:pt>
          <cx:pt idx="124">6.0999999999999996</cx:pt>
          <cx:pt idx="125">9.6999999999999993</cx:pt>
          <cx:pt idx="126">5.4000000000000004</cx:pt>
          <cx:pt idx="127">20.899999999999999</cx:pt>
          <cx:pt idx="128">10.9</cx:pt>
          <cx:pt idx="129">7</cx:pt>
          <cx:pt idx="130">13.5</cx:pt>
          <cx:pt idx="131">16.399999999999999</cx:pt>
          <cx:pt idx="132">22.800000000000001</cx:pt>
          <cx:pt idx="133">16.800000000000001</cx:pt>
          <cx:pt idx="134">12.1</cx:pt>
          <cx:pt idx="135">13.6</cx:pt>
          <cx:pt idx="136">39.100000000000001</cx:pt>
          <cx:pt idx="137">11.800000000000001</cx:pt>
          <cx:pt idx="138">9.6999999999999993</cx:pt>
          <cx:pt idx="139">9</cx:pt>
          <cx:pt idx="140">19.5</cx:pt>
          <cx:pt idx="141">12</cx:pt>
          <cx:pt idx="142">28.800000000000001</cx:pt>
          <cx:pt idx="143">14.5</cx:pt>
          <cx:pt idx="144">23</cx:pt>
          <cx:pt idx="145">4.2999999999999998</cx:pt>
          <cx:pt idx="146">1.2</cx:pt>
          <cx:pt idx="147">11.9</cx:pt>
          <cx:pt idx="148">7.5999999999999996</cx:pt>
          <cx:pt idx="149">0.29999999999999999</cx:pt>
          <cx:pt idx="150">1.5</cx:pt>
          <cx:pt idx="151">4.2000000000000002</cx:pt>
          <cx:pt idx="152">12.6</cx:pt>
          <cx:pt idx="153">1.3</cx:pt>
          <cx:pt idx="154">6.5</cx:pt>
          <cx:pt idx="155">1.5</cx:pt>
          <cx:pt idx="156">0.59999999999999998</cx:pt>
          <cx:pt idx="157">1.3999999999999999</cx:pt>
          <cx:pt idx="158">0.69999999999999996</cx:pt>
          <cx:pt idx="159">3.2000000000000002</cx:pt>
          <cx:pt idx="160">1.8999999999999999</cx:pt>
          <cx:pt idx="161">0</cx:pt>
          <cx:pt idx="162">4.2999999999999998</cx:pt>
          <cx:pt idx="163">2</cx:pt>
          <cx:pt idx="164">5.5999999999999996</cx:pt>
          <cx:pt idx="165">5.9000000000000004</cx:pt>
          <cx:pt idx="166">23.5</cx:pt>
          <cx:pt idx="167">11.300000000000001</cx:pt>
          <cx:pt idx="168">14.300000000000001</cx:pt>
          <cx:pt idx="169">19.199999999999999</cx:pt>
          <cx:pt idx="170">27</cx:pt>
          <cx:pt idx="171">30.5</cx:pt>
          <cx:pt idx="172">28.100000000000001</cx:pt>
          <cx:pt idx="173">23.300000000000001</cx:pt>
          <cx:pt idx="174">30.399999999999999</cx:pt>
          <cx:pt idx="175">21.399999999999999</cx:pt>
          <cx:pt idx="176">5.2000000000000002</cx:pt>
          <cx:pt idx="177">2.7000000000000002</cx:pt>
          <cx:pt idx="178">0.5</cx:pt>
          <cx:pt idx="179">20.800000000000001</cx:pt>
          <cx:pt idx="180">2.7999999999999998</cx:pt>
          <cx:pt idx="181">21.800000000000001</cx:pt>
          <cx:pt idx="182">18.199999999999999</cx:pt>
          <cx:pt idx="183">24.399999999999999</cx:pt>
          <cx:pt idx="184">9.5999999999999996</cx:pt>
          <cx:pt idx="185">0.40000000000000002</cx:pt>
          <cx:pt idx="186">16.5</cx:pt>
          <cx:pt idx="187">0</cx:pt>
          <cx:pt idx="188">2.8999999999999999</cx:pt>
          <cx:pt idx="189">0</cx:pt>
          <cx:pt idx="190">1.7</cx:pt>
          <cx:pt idx="191">0</cx:pt>
          <cx:pt idx="192">0.40000000000000002</cx:pt>
          <cx:pt idx="193">3.5</cx:pt>
          <cx:pt idx="194">2.2999999999999998</cx:pt>
          <cx:pt idx="195">3.3999999999999999</cx:pt>
          <cx:pt idx="196">1.7</cx:pt>
          <cx:pt idx="197">1.6000000000000001</cx:pt>
          <cx:pt idx="198">4.4000000000000004</cx:pt>
          <cx:pt idx="199">2.3999999999999999</cx:pt>
          <cx:pt idx="200">1.3999999999999999</cx:pt>
          <cx:pt idx="201">22.300000000000001</cx:pt>
          <cx:pt idx="202">5.7999999999999998</cx:pt>
          <cx:pt idx="203">0</cx:pt>
          <cx:pt idx="204">0</cx:pt>
          <cx:pt idx="205">1.5</cx:pt>
          <cx:pt idx="206">0.90000000000000002</cx:pt>
          <cx:pt idx="207">3.2999999999999998</cx:pt>
          <cx:pt idx="208">6.7999999999999998</cx:pt>
          <cx:pt idx="209">5.0999999999999996</cx:pt>
          <cx:pt idx="210">8.9000000000000004</cx:pt>
          <cx:pt idx="211">20.800000000000001</cx:pt>
          <cx:pt idx="212">14.300000000000001</cx:pt>
          <cx:pt idx="213">3.2000000000000002</cx:pt>
          <cx:pt idx="214">11.1</cx:pt>
          <cx:pt idx="215">2.5</cx:pt>
          <cx:pt idx="216">9.1999999999999993</cx:pt>
          <cx:pt idx="217">1.7</cx:pt>
          <cx:pt idx="218">5.2999999999999998</cx:pt>
          <cx:pt idx="219">2.7999999999999998</cx:pt>
          <cx:pt idx="220">1</cx:pt>
          <cx:pt idx="221">8.5999999999999996</cx:pt>
          <cx:pt idx="222">16.100000000000001</cx:pt>
          <cx:pt idx="223">25.199999999999999</cx:pt>
          <cx:pt idx="224">0</cx:pt>
          <cx:pt idx="225">2.1000000000000001</cx:pt>
          <cx:pt idx="226">6.5</cx:pt>
          <cx:pt idx="227">0</cx:pt>
          <cx:pt idx="228">2</cx:pt>
          <cx:pt idx="229">8.5999999999999996</cx:pt>
          <cx:pt idx="230">1.6000000000000001</cx:pt>
          <cx:pt idx="231">0.40000000000000002</cx:pt>
          <cx:pt idx="232">4.0999999999999996</cx:pt>
          <cx:pt idx="233">11.4</cx:pt>
          <cx:pt idx="234">3.1000000000000001</cx:pt>
          <cx:pt idx="235">6.2999999999999998</cx:pt>
          <cx:pt idx="236">4.9000000000000004</cx:pt>
          <cx:pt idx="237">5.2000000000000002</cx:pt>
          <cx:pt idx="238">2.2999999999999998</cx:pt>
          <cx:pt idx="239">2.5</cx:pt>
          <cx:pt idx="240">4.0999999999999996</cx:pt>
          <cx:pt idx="241">9.3000000000000007</cx:pt>
          <cx:pt idx="242">7.9000000000000004</cx:pt>
          <cx:pt idx="243">4.2999999999999998</cx:pt>
          <cx:pt idx="244">4.2999999999999998</cx:pt>
          <cx:pt idx="245">2.7999999999999998</cx:pt>
          <cx:pt idx="246">10.300000000000001</cx:pt>
          <cx:pt idx="247">3.2000000000000002</cx:pt>
          <cx:pt idx="248">3.7999999999999998</cx:pt>
          <cx:pt idx="249">9.5</cx:pt>
          <cx:pt idx="250">0.5</cx:pt>
          <cx:pt idx="251">10.9</cx:pt>
          <cx:pt idx="252">4.4000000000000004</cx:pt>
          <cx:pt idx="253">0.90000000000000002</cx:pt>
          <cx:pt idx="254">9.0999999999999996</cx:pt>
          <cx:pt idx="255">10.300000000000001</cx:pt>
          <cx:pt idx="256">9.3000000000000007</cx:pt>
          <cx:pt idx="257">12.300000000000001</cx:pt>
          <cx:pt idx="258">19</cx:pt>
          <cx:pt idx="259">2.5</cx:pt>
          <cx:pt idx="260">16.800000000000001</cx:pt>
          <cx:pt idx="261">4.2999999999999998</cx:pt>
          <cx:pt idx="262">7.5999999999999996</cx:pt>
          <cx:pt idx="263">11.1</cx:pt>
          <cx:pt idx="264">8.8000000000000007</cx:pt>
          <cx:pt idx="265">0.69999999999999996</cx:pt>
          <cx:pt idx="266">10.6</cx:pt>
          <cx:pt idx="267">8</cx:pt>
          <cx:pt idx="268">9.8000000000000007</cx:pt>
          <cx:pt idx="269">0</cx:pt>
          <cx:pt idx="270">5.5</cx:pt>
          <cx:pt idx="271">1.6000000000000001</cx:pt>
          <cx:pt idx="272">12.800000000000001</cx:pt>
          <cx:pt idx="273">11.1</cx:pt>
          <cx:pt idx="274">9.1999999999999993</cx:pt>
          <cx:pt idx="275">2.5</cx:pt>
          <cx:pt idx="276">15.5</cx:pt>
          <cx:pt idx="277">5.7000000000000002</cx:pt>
          <cx:pt idx="278">0.69999999999999996</cx:pt>
          <cx:pt idx="279">7.5</cx:pt>
          <cx:pt idx="280">18.300000000000001</cx:pt>
          <cx:pt idx="281">12.9</cx:pt>
          <cx:pt idx="282">24.399999999999999</cx:pt>
          <cx:pt idx="283">17.800000000000001</cx:pt>
          <cx:pt idx="284">16.899999999999999</cx:pt>
          <cx:pt idx="285">7.2999999999999998</cx:pt>
          <cx:pt idx="286">15</cx:pt>
          <cx:pt idx="287">10</cx:pt>
          <cx:pt idx="288">5.7999999999999998</cx:pt>
          <cx:pt idx="289">1.1000000000000001</cx:pt>
          <cx:pt idx="290">0.40000000000000002</cx:pt>
          <cx:pt idx="291">1.3</cx:pt>
          <cx:pt idx="292">2.3999999999999999</cx:pt>
          <cx:pt idx="293">3.8999999999999999</cx:pt>
          <cx:pt idx="294">0</cx:pt>
          <cx:pt idx="295">0</cx:pt>
          <cx:pt idx="296">1.5</cx:pt>
          <cx:pt idx="297">2.2999999999999998</cx:pt>
          <cx:pt idx="298">2</cx:pt>
          <cx:pt idx="299">0</cx:pt>
          <cx:pt idx="300">19.399999999999999</cx:pt>
          <cx:pt idx="301">5.5</cx:pt>
          <cx:pt idx="302">11.4</cx:pt>
          <cx:pt idx="303">17.699999999999999</cx:pt>
          <cx:pt idx="304">2.2000000000000002</cx:pt>
          <cx:pt idx="305">3.7000000000000002</cx:pt>
          <cx:pt idx="306">2.7000000000000002</cx:pt>
          <cx:pt idx="307">1.8999999999999999</cx:pt>
          <cx:pt idx="308">4.2000000000000002</cx:pt>
          <cx:pt idx="309">0.59999999999999998</cx:pt>
          <cx:pt idx="310">27.100000000000001</cx:pt>
          <cx:pt idx="311">1.8</cx:pt>
          <cx:pt idx="312">1</cx:pt>
          <cx:pt idx="313">3.3999999999999999</cx:pt>
          <cx:pt idx="314">12.9</cx:pt>
          <cx:pt idx="315">1.3</cx:pt>
          <cx:pt idx="316">30.699999999999999</cx:pt>
          <cx:pt idx="317">38.299999999999997</cx:pt>
          <cx:pt idx="318">47.5</cx:pt>
          <cx:pt idx="319">56.5</cx:pt>
          <cx:pt idx="320">44.299999999999997</cx:pt>
          <cx:pt idx="321">14.699999999999999</cx:pt>
          <cx:pt idx="322">7.0999999999999996</cx:pt>
          <cx:pt idx="323">24.600000000000001</cx:pt>
          <cx:pt idx="324">23.100000000000001</cx:pt>
          <cx:pt idx="325">32</cx:pt>
          <cx:pt idx="326">27.300000000000001</cx:pt>
          <cx:pt idx="327">21.300000000000001</cx:pt>
          <cx:pt idx="328">42.399999999999999</cx:pt>
          <cx:pt idx="329">15</cx:pt>
          <cx:pt idx="330">26</cx:pt>
          <cx:pt idx="331">24.5</cx:pt>
          <cx:pt idx="332">9.0999999999999996</cx:pt>
          <cx:pt idx="333">34.399999999999999</cx:pt>
          <cx:pt idx="334">29.600000000000001</cx:pt>
          <cx:pt idx="335">25.300000000000001</cx:pt>
          <cx:pt idx="336">21</cx:pt>
          <cx:pt idx="337">48.399999999999999</cx:pt>
          <cx:pt idx="338">25</cx:pt>
          <cx:pt idx="339">32.399999999999999</cx:pt>
          <cx:pt idx="340">30.199999999999999</cx:pt>
          <cx:pt idx="341">21.300000000000001</cx:pt>
          <cx:pt idx="342">37.700000000000003</cx:pt>
          <cx:pt idx="343">23.699999999999999</cx:pt>
          <cx:pt idx="344">25.100000000000001</cx:pt>
          <cx:pt idx="345">50.899999999999999</cx:pt>
          <cx:pt idx="346">39.100000000000001</cx:pt>
          <cx:pt idx="347">57.200000000000003</cx:pt>
          <cx:pt idx="348">42.299999999999997</cx:pt>
          <cx:pt idx="349">27.600000000000001</cx:pt>
          <cx:pt idx="350">13.199999999999999</cx:pt>
          <cx:pt idx="351">19.899999999999999</cx:pt>
          <cx:pt idx="352">24.800000000000001</cx:pt>
          <cx:pt idx="353">16.199999999999999</cx:pt>
          <cx:pt idx="354">19.5</cx:pt>
          <cx:pt idx="355">10.199999999999999</cx:pt>
          <cx:pt idx="356">4.7000000000000002</cx:pt>
          <cx:pt idx="357">21</cx:pt>
          <cx:pt idx="358">25.800000000000001</cx:pt>
          <cx:pt idx="359">32.100000000000001</cx:pt>
          <cx:pt idx="360">19</cx:pt>
          <cx:pt idx="361">45</cx:pt>
          <cx:pt idx="362">34.600000000000001</cx:pt>
          <cx:pt idx="363">16.199999999999999</cx:pt>
          <cx:pt idx="364">7.2999999999999998</cx:pt>
          <cx:pt idx="365">24</cx:pt>
          <cx:pt idx="366">55.5</cx:pt>
          <cx:pt idx="367">35.299999999999997</cx:pt>
          <cx:pt idx="368">29.300000000000001</cx:pt>
          <cx:pt idx="369">59.399999999999999</cx:pt>
          <cx:pt idx="370">6.0999999999999996</cx:pt>
          <cx:pt idx="371">12.5</cx:pt>
          <cx:pt idx="372">0</cx:pt>
          <cx:pt idx="373">6.9000000000000004</cx:pt>
          <cx:pt idx="374">0</cx:pt>
          <cx:pt idx="375">8.5999999999999996</cx:pt>
          <cx:pt idx="376">0</cx:pt>
          <cx:pt idx="377">0</cx:pt>
          <cx:pt idx="378">3.3999999999999999</cx:pt>
          <cx:pt idx="379">0</cx:pt>
          <cx:pt idx="380">3.1000000000000001</cx:pt>
          <cx:pt idx="381">5.5</cx:pt>
          <cx:pt idx="382">18.899999999999999</cx:pt>
          <cx:pt idx="383">25.699999999999999</cx:pt>
          <cx:pt idx="384">3.1000000000000001</cx:pt>
          <cx:pt idx="385">0</cx:pt>
          <cx:pt idx="386">0</cx:pt>
          <cx:pt idx="387">5.0999999999999996</cx:pt>
          <cx:pt idx="388">0</cx:pt>
          <cx:pt idx="389">9.1999999999999993</cx:pt>
          <cx:pt idx="390">9.4000000000000004</cx:pt>
          <cx:pt idx="391">2.7999999999999998</cx:pt>
          <cx:pt idx="392">9.9000000000000004</cx:pt>
          <cx:pt idx="393">4.7000000000000002</cx:pt>
          <cx:pt idx="394">3.7999999999999998</cx:pt>
          <cx:pt idx="395">2</cx:pt>
          <cx:pt idx="396">0.20000000000000001</cx:pt>
          <cx:pt idx="397">3.5</cx:pt>
          <cx:pt idx="398">4.2000000000000002</cx:pt>
          <cx:pt idx="399">0</cx:pt>
          <cx:pt idx="400">0</cx:pt>
          <cx:pt idx="401">7.2000000000000002</cx:pt>
          <cx:pt idx="402">15</cx:pt>
          <cx:pt idx="403">7.0999999999999996</cx:pt>
          <cx:pt idx="404">5.2000000000000002</cx:pt>
          <cx:pt idx="405">4.7000000000000002</cx:pt>
          <cx:pt idx="406">5.0999999999999996</cx:pt>
          <cx:pt idx="407">6.7000000000000002</cx:pt>
          <cx:pt idx="408">2.2000000000000002</cx:pt>
          <cx:pt idx="409">3.3999999999999999</cx:pt>
          <cx:pt idx="410">4.4000000000000004</cx:pt>
          <cx:pt idx="411">0.69999999999999996</cx:pt>
          <cx:pt idx="412">2.2000000000000002</cx:pt>
          <cx:pt idx="413">5.4000000000000004</cx:pt>
          <cx:pt idx="414">3.3999999999999999</cx:pt>
          <cx:pt idx="415">0</cx:pt>
          <cx:pt idx="416">0</cx:pt>
          <cx:pt idx="417">15.199999999999999</cx:pt>
          <cx:pt idx="418">7</cx:pt>
          <cx:pt idx="419">2.1000000000000001</cx:pt>
          <cx:pt idx="420">0.80000000000000004</cx:pt>
          <cx:pt idx="421">4.4000000000000004</cx:pt>
          <cx:pt idx="422">3.8999999999999999</cx:pt>
          <cx:pt idx="423">6.7000000000000002</cx:pt>
          <cx:pt idx="424">0</cx:pt>
          <cx:pt idx="425">2.5</cx:pt>
          <cx:pt idx="426">5.2000000000000002</cx:pt>
          <cx:pt idx="427">1.5</cx:pt>
          <cx:pt idx="428">2.8999999999999999</cx:pt>
          <cx:pt idx="429">5.5</cx:pt>
          <cx:pt idx="430">0.69999999999999996</cx:pt>
          <cx:pt idx="431">9.9000000000000004</cx:pt>
          <cx:pt idx="432">13.5</cx:pt>
          <cx:pt idx="433">10.4</cx:pt>
          <cx:pt idx="434">7.9000000000000004</cx:pt>
          <cx:pt idx="435">1</cx:pt>
          <cx:pt idx="436">0</cx:pt>
          <cx:pt idx="437">4.4000000000000004</cx:pt>
          <cx:pt idx="438">17.899999999999999</cx:pt>
          <cx:pt idx="439">1.3</cx:pt>
          <cx:pt idx="440">1.8999999999999999</cx:pt>
          <cx:pt idx="441">7.0999999999999996</cx:pt>
          <cx:pt idx="442">2.7999999999999998</cx:pt>
          <cx:pt idx="443">0.80000000000000004</cx:pt>
          <cx:pt idx="444">10.9</cx:pt>
          <cx:pt idx="445">4</cx:pt>
          <cx:pt idx="446">0</cx:pt>
          <cx:pt idx="447">1</cx:pt>
          <cx:pt idx="448">2.2999999999999998</cx:pt>
          <cx:pt idx="449">0.5</cx:pt>
          <cx:pt idx="450">2.2999999999999998</cx:pt>
          <cx:pt idx="451">1.8999999999999999</cx:pt>
          <cx:pt idx="452">2.7999999999999998</cx:pt>
          <cx:pt idx="453">3.3999999999999999</cx:pt>
          <cx:pt idx="454">2.7000000000000002</cx:pt>
          <cx:pt idx="455">0</cx:pt>
          <cx:pt idx="456">4.5</cx:pt>
          <cx:pt idx="457">3.1000000000000001</cx:pt>
          <cx:pt idx="458">3.7999999999999998</cx:pt>
          <cx:pt idx="459">1.8</cx:pt>
          <cx:pt idx="460">2.1000000000000001</cx:pt>
          <cx:pt idx="461">2.7999999999999998</cx:pt>
          <cx:pt idx="462">0.29999999999999999</cx:pt>
          <cx:pt idx="463">1.1000000000000001</cx:pt>
          <cx:pt idx="464">0</cx:pt>
          <cx:pt idx="465">4.4000000000000004</cx:pt>
          <cx:pt idx="466">4</cx:pt>
          <cx:pt idx="467">2.5</cx:pt>
          <cx:pt idx="468">5.4000000000000004</cx:pt>
          <cx:pt idx="469">4.7999999999999998</cx:pt>
          <cx:pt idx="470">0.29999999999999999</cx:pt>
          <cx:pt idx="471">0</cx:pt>
          <cx:pt idx="472">0</cx:pt>
          <cx:pt idx="473">3.2999999999999998</cx:pt>
          <cx:pt idx="474">0</cx:pt>
          <cx:pt idx="475">0</cx:pt>
          <cx:pt idx="476">0</cx:pt>
          <cx:pt idx="477">2.2999999999999998</cx:pt>
          <cx:pt idx="478">0</cx:pt>
          <cx:pt idx="479">4</cx:pt>
          <cx:pt idx="480">0</cx:pt>
          <cx:pt idx="481">1.8</cx:pt>
          <cx:pt idx="482">3.7999999999999998</cx:pt>
          <cx:pt idx="483">15.800000000000001</cx:pt>
          <cx:pt idx="484">6.7999999999999998</cx:pt>
          <cx:pt idx="485">1.3999999999999999</cx:pt>
          <cx:pt idx="486">0.90000000000000002</cx:pt>
          <cx:pt idx="487">1.6000000000000001</cx:pt>
          <cx:pt idx="488">2.2999999999999998</cx:pt>
          <cx:pt idx="489">0</cx:pt>
          <cx:pt idx="490">5.2000000000000002</cx:pt>
          <cx:pt idx="491">0</cx:pt>
          <cx:pt idx="492">0</cx:pt>
          <cx:pt idx="493">9.5999999999999996</cx:pt>
          <cx:pt idx="494">0.80000000000000004</cx:pt>
          <cx:pt idx="495">1.6000000000000001</cx:pt>
          <cx:pt idx="496">1.3999999999999999</cx:pt>
          <cx:pt idx="497">0.90000000000000002</cx:pt>
          <cx:pt idx="498">2.1000000000000001</cx:pt>
          <cx:pt idx="499">9.5999999999999996</cx:pt>
          <cx:pt idx="500">0.5</cx:pt>
          <cx:pt idx="501">2.2999999999999998</cx:pt>
          <cx:pt idx="502">0.29999999999999999</cx:pt>
          <cx:pt idx="503">0.69999999999999996</cx:pt>
          <cx:pt idx="504">0.59999999999999998</cx:pt>
          <cx:pt idx="505">0</cx:pt>
          <cx:pt idx="506">3.6000000000000001</cx:pt>
          <cx:pt idx="507">0</cx:pt>
          <cx:pt idx="508">0</cx:pt>
          <cx:pt idx="509">1.3999999999999999</cx:pt>
          <cx:pt idx="510">1.5</cx:pt>
          <cx:pt idx="511">0</cx:pt>
          <cx:pt idx="512">3.6000000000000001</cx:pt>
          <cx:pt idx="513">9.1999999999999993</cx:pt>
          <cx:pt idx="514">14.300000000000001</cx:pt>
          <cx:pt idx="515">2.8999999999999999</cx:pt>
          <cx:pt idx="516">0.80000000000000004</cx:pt>
          <cx:pt idx="517">1.6000000000000001</cx:pt>
          <cx:pt idx="518">2.8999999999999999</cx:pt>
          <cx:pt idx="519">0</cx:pt>
          <cx:pt idx="520">6.9000000000000004</cx:pt>
          <cx:pt idx="521">4</cx:pt>
          <cx:pt idx="522">4</cx:pt>
          <cx:pt idx="523">2.2000000000000002</cx:pt>
          <cx:pt idx="524">14.6</cx:pt>
          <cx:pt idx="525">7.2999999999999998</cx:pt>
          <cx:pt idx="526">5.7000000000000002</cx:pt>
          <cx:pt idx="527">0</cx:pt>
          <cx:pt idx="528">4.9000000000000004</cx:pt>
          <cx:pt idx="529">0</cx:pt>
          <cx:pt idx="530">0</cx:pt>
          <cx:pt idx="531">13.1</cx:pt>
          <cx:pt idx="532">0.59999999999999998</cx:pt>
          <cx:pt idx="533">0.29999999999999999</cx:pt>
          <cx:pt idx="534">0</cx:pt>
          <cx:pt idx="535">12.4</cx:pt>
          <cx:pt idx="536">2.7999999999999998</cx:pt>
          <cx:pt idx="537">1.2</cx:pt>
          <cx:pt idx="538">1.1000000000000001</cx:pt>
          <cx:pt idx="539">6.9000000000000004</cx:pt>
          <cx:pt idx="540">10.699999999999999</cx:pt>
          <cx:pt idx="541">4.5</cx:pt>
          <cx:pt idx="542">2.2999999999999998</cx:pt>
          <cx:pt idx="543">6.4000000000000004</cx:pt>
          <cx:pt idx="544">3.7999999999999998</cx:pt>
          <cx:pt idx="545">2.1000000000000001</cx:pt>
          <cx:pt idx="546">3.6000000000000001</cx:pt>
          <cx:pt idx="547">13.699999999999999</cx:pt>
          <cx:pt idx="548">2.7000000000000002</cx:pt>
          <cx:pt idx="549">0</cx:pt>
          <cx:pt idx="550">6.5999999999999996</cx:pt>
          <cx:pt idx="551">0.29999999999999999</cx:pt>
          <cx:pt idx="552">2.5</cx:pt>
          <cx:pt idx="553">2.1000000000000001</cx:pt>
          <cx:pt idx="554">4</cx:pt>
          <cx:pt idx="555">5.7000000000000002</cx:pt>
          <cx:pt idx="556">0</cx:pt>
          <cx:pt idx="557">0</cx:pt>
          <cx:pt idx="558">0.59999999999999998</cx:pt>
          <cx:pt idx="559">1.3</cx:pt>
          <cx:pt idx="560">5.5999999999999996</cx:pt>
          <cx:pt idx="561">7.4000000000000004</cx:pt>
          <cx:pt idx="562">1.8</cx:pt>
          <cx:pt idx="563">1.7</cx:pt>
          <cx:pt idx="564">1.3999999999999999</cx:pt>
          <cx:pt idx="565">8.3000000000000007</cx:pt>
          <cx:pt idx="566">1.5</cx:pt>
          <cx:pt idx="567">9.5999999999999996</cx:pt>
          <cx:pt idx="568">0.90000000000000002</cx:pt>
          <cx:pt idx="569">7.2000000000000002</cx:pt>
          <cx:pt idx="570">7.5</cx:pt>
          <cx:pt idx="571">0</cx:pt>
          <cx:pt idx="572">5.7999999999999998</cx:pt>
          <cx:pt idx="573">4.5999999999999996</cx:pt>
          <cx:pt idx="574">2.6000000000000001</cx:pt>
          <cx:pt idx="575">1.8999999999999999</cx:pt>
          <cx:pt idx="576">3.8999999999999999</cx:pt>
          <cx:pt idx="577">4.7999999999999998</cx:pt>
          <cx:pt idx="578">13.300000000000001</cx:pt>
          <cx:pt idx="579">0.69999999999999996</cx:pt>
          <cx:pt idx="580">11.199999999999999</cx:pt>
          <cx:pt idx="581">2.7000000000000002</cx:pt>
          <cx:pt idx="582">0</cx:pt>
          <cx:pt idx="583">0</cx:pt>
          <cx:pt idx="584">5.0999999999999996</cx:pt>
          <cx:pt idx="585">6.0999999999999996</cx:pt>
          <cx:pt idx="586">2</cx:pt>
          <cx:pt idx="587">0</cx:pt>
          <cx:pt idx="588">4.2999999999999998</cx:pt>
          <cx:pt idx="589">5</cx:pt>
          <cx:pt idx="590">10.699999999999999</cx:pt>
          <cx:pt idx="591">2</cx:pt>
          <cx:pt idx="592">2.5</cx:pt>
          <cx:pt idx="593">0.10000000000000001</cx:pt>
          <cx:pt idx="594">13.800000000000001</cx:pt>
          <cx:pt idx="595">4.5999999999999996</cx:pt>
          <cx:pt idx="596">3.5</cx:pt>
          <cx:pt idx="597">17</cx:pt>
          <cx:pt idx="598">2.7000000000000002</cx:pt>
          <cx:pt idx="599">4.2999999999999998</cx:pt>
          <cx:pt idx="600">2.5</cx:pt>
          <cx:pt idx="601">7.9000000000000004</cx:pt>
          <cx:pt idx="602">0.69999999999999996</cx:pt>
          <cx:pt idx="603">0.80000000000000004</cx:pt>
          <cx:pt idx="604">3.2000000000000002</cx:pt>
          <cx:pt idx="605">0.59999999999999998</cx:pt>
          <cx:pt idx="606">4.9000000000000004</cx:pt>
          <cx:pt idx="607">0</cx:pt>
          <cx:pt idx="608">0.20000000000000001</cx:pt>
          <cx:pt idx="609">0</cx:pt>
          <cx:pt idx="610">3.3999999999999999</cx:pt>
          <cx:pt idx="611">1.3999999999999999</cx:pt>
          <cx:pt idx="612">4.4000000000000004</cx:pt>
          <cx:pt idx="613">5.9000000000000004</cx:pt>
          <cx:pt idx="614">5.2000000000000002</cx:pt>
          <cx:pt idx="615">16.100000000000001</cx:pt>
          <cx:pt idx="616">8.6999999999999993</cx:pt>
          <cx:pt idx="617">0.5</cx:pt>
          <cx:pt idx="618">0.5</cx:pt>
          <cx:pt idx="619">12.300000000000001</cx:pt>
          <cx:pt idx="620">8.0999999999999996</cx:pt>
          <cx:pt idx="621">4.5999999999999996</cx:pt>
          <cx:pt idx="622">1.7</cx:pt>
          <cx:pt idx="623">0</cx:pt>
          <cx:pt idx="624">8.0999999999999996</cx:pt>
          <cx:pt idx="625">3.7999999999999998</cx:pt>
          <cx:pt idx="626">4.0999999999999996</cx:pt>
          <cx:pt idx="627">0</cx:pt>
          <cx:pt idx="628">0.20000000000000001</cx:pt>
          <cx:pt idx="629">4.0999999999999996</cx:pt>
          <cx:pt idx="630">0</cx:pt>
          <cx:pt idx="631">6.5999999999999996</cx:pt>
          <cx:pt idx="632">6.2999999999999998</cx:pt>
          <cx:pt idx="633">3.5</cx:pt>
          <cx:pt idx="634">8.5999999999999996</cx:pt>
          <cx:pt idx="635">9.0999999999999996</cx:pt>
          <cx:pt idx="636">0.20000000000000001</cx:pt>
          <cx:pt idx="637">0</cx:pt>
          <cx:pt idx="638">10.300000000000001</cx:pt>
          <cx:pt idx="639">21.5</cx:pt>
          <cx:pt idx="640">9.1999999999999993</cx:pt>
          <cx:pt idx="641">0.59999999999999998</cx:pt>
          <cx:pt idx="642">22.699999999999999</cx:pt>
          <cx:pt idx="643">4.2999999999999998</cx:pt>
          <cx:pt idx="644">19.199999999999999</cx:pt>
          <cx:pt idx="645">30.600000000000001</cx:pt>
          <cx:pt idx="646">5.7999999999999998</cx:pt>
          <cx:pt idx="647">1.3999999999999999</cx:pt>
          <cx:pt idx="648">6.2000000000000002</cx:pt>
          <cx:pt idx="649">29.5</cx:pt>
          <cx:pt idx="650">22.100000000000001</cx:pt>
          <cx:pt idx="651">11.699999999999999</cx:pt>
          <cx:pt idx="652">16.699999999999999</cx:pt>
          <cx:pt idx="653">4.4000000000000004</cx:pt>
          <cx:pt idx="654">1.5</cx:pt>
          <cx:pt idx="655">2.2999999999999998</cx:pt>
          <cx:pt idx="656">22.899999999999999</cx:pt>
          <cx:pt idx="657">8.1999999999999993</cx:pt>
          <cx:pt idx="658">13</cx:pt>
          <cx:pt idx="659">3.3999999999999999</cx:pt>
          <cx:pt idx="660">13.5</cx:pt>
          <cx:pt idx="661">2.7999999999999998</cx:pt>
          <cx:pt idx="662">4.0999999999999996</cx:pt>
          <cx:pt idx="663">11.699999999999999</cx:pt>
          <cx:pt idx="664">1.8999999999999999</cx:pt>
          <cx:pt idx="665">19.300000000000001</cx:pt>
          <cx:pt idx="666">13.6</cx:pt>
          <cx:pt idx="667">19</cx:pt>
          <cx:pt idx="668">8.0999999999999996</cx:pt>
          <cx:pt idx="669">9</cx:pt>
          <cx:pt idx="670">11</cx:pt>
          <cx:pt idx="671">8.5999999999999996</cx:pt>
          <cx:pt idx="672">9.6999999999999993</cx:pt>
          <cx:pt idx="673">10</cx:pt>
          <cx:pt idx="674">16.100000000000001</cx:pt>
          <cx:pt idx="675">14.199999999999999</cx:pt>
          <cx:pt idx="676">3.7999999999999998</cx:pt>
          <cx:pt idx="677">9.6999999999999993</cx:pt>
          <cx:pt idx="678">5.9000000000000004</cx:pt>
          <cx:pt idx="679">7.5999999999999996</cx:pt>
          <cx:pt idx="680">4.7000000000000002</cx:pt>
          <cx:pt idx="681">7.7000000000000002</cx:pt>
          <cx:pt idx="682">6.5999999999999996</cx:pt>
          <cx:pt idx="683">8.6999999999999993</cx:pt>
          <cx:pt idx="684">0.69999999999999996</cx:pt>
          <cx:pt idx="685">0.90000000000000002</cx:pt>
          <cx:pt idx="686">0.69999999999999996</cx:pt>
          <cx:pt idx="687">1.1000000000000001</cx:pt>
          <cx:pt idx="688">9.9000000000000004</cx:pt>
          <cx:pt idx="689">11.699999999999999</cx:pt>
          <cx:pt idx="690">6.0999999999999996</cx:pt>
          <cx:pt idx="691">3.1000000000000001</cx:pt>
          <cx:pt idx="692">12.800000000000001</cx:pt>
          <cx:pt idx="693">7.5999999999999996</cx:pt>
          <cx:pt idx="694">4.5999999999999996</cx:pt>
          <cx:pt idx="695">5.2999999999999998</cx:pt>
          <cx:pt idx="696">8.5</cx:pt>
          <cx:pt idx="697">9.1999999999999993</cx:pt>
          <cx:pt idx="698">15.699999999999999</cx:pt>
          <cx:pt idx="699">9</cx:pt>
          <cx:pt idx="700">12.9</cx:pt>
          <cx:pt idx="701">7.9000000000000004</cx:pt>
          <cx:pt idx="702">12.9</cx:pt>
          <cx:pt idx="703">13.699999999999999</cx:pt>
          <cx:pt idx="704">18.800000000000001</cx:pt>
          <cx:pt idx="705">23.300000000000001</cx:pt>
          <cx:pt idx="706">10.300000000000001</cx:pt>
          <cx:pt idx="707">0</cx:pt>
          <cx:pt idx="708">22.699999999999999</cx:pt>
          <cx:pt idx="709">4.9000000000000004</cx:pt>
          <cx:pt idx="710">11.199999999999999</cx:pt>
          <cx:pt idx="711">21.199999999999999</cx:pt>
          <cx:pt idx="712">19.899999999999999</cx:pt>
          <cx:pt idx="713">54.5</cx:pt>
          <cx:pt idx="714">17.300000000000001</cx:pt>
          <cx:pt idx="715">5.4000000000000004</cx:pt>
          <cx:pt idx="716">15.4</cx:pt>
          <cx:pt idx="717">8.1999999999999993</cx:pt>
          <cx:pt idx="718">5.2999999999999998</cx:pt>
          <cx:pt idx="719">6.9000000000000004</cx:pt>
          <cx:pt idx="720">5</cx:pt>
          <cx:pt idx="721">4.2999999999999998</cx:pt>
          <cx:pt idx="722">0.90000000000000002</cx:pt>
          <cx:pt idx="723">10.1</cx:pt>
          <cx:pt idx="724">2.2999999999999998</cx:pt>
          <cx:pt idx="725">4.4000000000000004</cx:pt>
          <cx:pt idx="726">2.5</cx:pt>
          <cx:pt idx="727">9.1999999999999993</cx:pt>
          <cx:pt idx="728">7.2999999999999998</cx:pt>
          <cx:pt idx="729">6.2000000000000002</cx:pt>
          <cx:pt idx="730">4.4000000000000004</cx:pt>
          <cx:pt idx="731">9.4000000000000004</cx:pt>
          <cx:pt idx="732">9.8000000000000007</cx:pt>
          <cx:pt idx="733">12.5</cx:pt>
          <cx:pt idx="734">6.4000000000000004</cx:pt>
          <cx:pt idx="735">9.8000000000000007</cx:pt>
          <cx:pt idx="736">3.6000000000000001</cx:pt>
          <cx:pt idx="737">18.699999999999999</cx:pt>
          <cx:pt idx="738">1</cx:pt>
          <cx:pt idx="739">18.800000000000001</cx:pt>
          <cx:pt idx="740">20.399999999999999</cx:pt>
          <cx:pt idx="741">30.699999999999999</cx:pt>
          <cx:pt idx="742">23.399999999999999</cx:pt>
          <cx:pt idx="743">3.8999999999999999</cx:pt>
          <cx:pt idx="744">16.399999999999999</cx:pt>
          <cx:pt idx="745">11.800000000000001</cx:pt>
          <cx:pt idx="746">19.800000000000001</cx:pt>
          <cx:pt idx="747">4.5999999999999996</cx:pt>
          <cx:pt idx="748">5.9000000000000004</cx:pt>
          <cx:pt idx="749">9.8000000000000007</cx:pt>
          <cx:pt idx="750">8.4000000000000004</cx:pt>
          <cx:pt idx="751">0.69999999999999996</cx:pt>
          <cx:pt idx="752">0</cx:pt>
          <cx:pt idx="753">4.2000000000000002</cx:pt>
          <cx:pt idx="754">0.69999999999999996</cx:pt>
          <cx:pt idx="755">12.4</cx:pt>
          <cx:pt idx="756">17.399999999999999</cx:pt>
          <cx:pt idx="757">10.1</cx:pt>
          <cx:pt idx="758">2.3999999999999999</cx:pt>
          <cx:pt idx="759">2.5</cx:pt>
          <cx:pt idx="760">26.399999999999999</cx:pt>
          <cx:pt idx="761">16.800000000000001</cx:pt>
          <cx:pt idx="762">15.300000000000001</cx:pt>
          <cx:pt idx="763">18.5</cx:pt>
          <cx:pt idx="764">21.100000000000001</cx:pt>
          <cx:pt idx="765">14.199999999999999</cx:pt>
          <cx:pt idx="766">18.600000000000001</cx:pt>
          <cx:pt idx="767">1.6000000000000001</cx:pt>
          <cx:pt idx="768">0.20000000000000001</cx:pt>
          <cx:pt idx="769">10.800000000000001</cx:pt>
          <cx:pt idx="770">12.4</cx:pt>
          <cx:pt idx="771">0</cx:pt>
          <cx:pt idx="772">6.9000000000000004</cx:pt>
          <cx:pt idx="773">0</cx:pt>
          <cx:pt idx="774">4</cx:pt>
          <cx:pt idx="775">6.0999999999999996</cx:pt>
          <cx:pt idx="776">7.7000000000000002</cx:pt>
          <cx:pt idx="777">1.6000000000000001</cx:pt>
          <cx:pt idx="778">5.2999999999999998</cx:pt>
          <cx:pt idx="779">3.6000000000000001</cx:pt>
          <cx:pt idx="780">1.3999999999999999</cx:pt>
          <cx:pt idx="781">4.7999999999999998</cx:pt>
          <cx:pt idx="782">0.69999999999999996</cx:pt>
          <cx:pt idx="783">5.4000000000000004</cx:pt>
          <cx:pt idx="784">0</cx:pt>
          <cx:pt idx="785">3.7999999999999998</cx:pt>
          <cx:pt idx="786">14.300000000000001</cx:pt>
          <cx:pt idx="787">10.4</cx:pt>
          <cx:pt idx="788">0</cx:pt>
          <cx:pt idx="789">4.9000000000000004</cx:pt>
          <cx:pt idx="790">3.2999999999999998</cx:pt>
          <cx:pt idx="791">6.7999999999999998</cx:pt>
          <cx:pt idx="792">4.5999999999999996</cx:pt>
          <cx:pt idx="793">10.800000000000001</cx:pt>
          <cx:pt idx="794">5.4000000000000004</cx:pt>
          <cx:pt idx="795">14.5</cx:pt>
          <cx:pt idx="796">26.5</cx:pt>
          <cx:pt idx="797">7.7999999999999998</cx:pt>
          <cx:pt idx="798">15.4</cx:pt>
          <cx:pt idx="799">3.2000000000000002</cx:pt>
          <cx:pt idx="800">7.5999999999999996</cx:pt>
          <cx:pt idx="801">13.5</cx:pt>
          <cx:pt idx="802">1.6000000000000001</cx:pt>
          <cx:pt idx="803">3.1000000000000001</cx:pt>
          <cx:pt idx="804">9.5999999999999996</cx:pt>
          <cx:pt idx="805">3.8999999999999999</cx:pt>
          <cx:pt idx="806">5.2000000000000002</cx:pt>
          <cx:pt idx="807">8.1999999999999993</cx:pt>
          <cx:pt idx="808">3.8999999999999999</cx:pt>
          <cx:pt idx="809">0.90000000000000002</cx:pt>
          <cx:pt idx="810">2.5</cx:pt>
          <cx:pt idx="811">9.0999999999999996</cx:pt>
          <cx:pt idx="812">1.1000000000000001</cx:pt>
          <cx:pt idx="813">0.69999999999999996</cx:pt>
          <cx:pt idx="814">7.9000000000000004</cx:pt>
          <cx:pt idx="815">2.3999999999999999</cx:pt>
          <cx:pt idx="816">4</cx:pt>
          <cx:pt idx="817">4</cx:pt>
          <cx:pt idx="818">0</cx:pt>
          <cx:pt idx="819">0</cx:pt>
          <cx:pt idx="820">4.7000000000000002</cx:pt>
          <cx:pt idx="821">7.5</cx:pt>
          <cx:pt idx="822">3.1000000000000001</cx:pt>
          <cx:pt idx="823">10</cx:pt>
          <cx:pt idx="824">1.3</cx:pt>
          <cx:pt idx="825">2.3999999999999999</cx:pt>
          <cx:pt idx="826">0</cx:pt>
          <cx:pt idx="827">6.2000000000000002</cx:pt>
          <cx:pt idx="828">60.5</cx:pt>
          <cx:pt idx="829">35.200000000000003</cx:pt>
          <cx:pt idx="830">53.700000000000003</cx:pt>
          <cx:pt idx="831">66.599999999999994</cx:pt>
          <cx:pt idx="832">4.9000000000000004</cx:pt>
          <cx:pt idx="833">6</cx:pt>
          <cx:pt idx="834">39.299999999999997</cx:pt>
          <cx:pt idx="835">11.5</cx:pt>
          <cx:pt idx="836">9.4000000000000004</cx:pt>
          <cx:pt idx="837">36.399999999999999</cx:pt>
          <cx:pt idx="838">49.799999999999997</cx:pt>
          <cx:pt idx="839">66.200000000000003</cx:pt>
          <cx:pt idx="840">36.200000000000003</cx:pt>
          <cx:pt idx="841">50.799999999999997</cx:pt>
          <cx:pt idx="842">61.600000000000001</cx:pt>
          <cx:pt idx="843">56.5</cx:pt>
          <cx:pt idx="844">54.200000000000003</cx:pt>
          <cx:pt idx="845">26.899999999999999</cx:pt>
          <cx:pt idx="846">16.300000000000001</cx:pt>
          <cx:pt idx="847">25.699999999999999</cx:pt>
          <cx:pt idx="848">32.200000000000003</cx:pt>
          <cx:pt idx="849">32</cx:pt>
          <cx:pt idx="850">27.800000000000001</cx:pt>
          <cx:pt idx="851">5.5999999999999996</cx:pt>
          <cx:pt idx="852">0</cx:pt>
          <cx:pt idx="853">5.9000000000000004</cx:pt>
          <cx:pt idx="854">20.600000000000001</cx:pt>
          <cx:pt idx="855">12.5</cx:pt>
          <cx:pt idx="856">19.600000000000001</cx:pt>
          <cx:pt idx="857">36.100000000000001</cx:pt>
          <cx:pt idx="858">10.199999999999999</cx:pt>
          <cx:pt idx="859">16.300000000000001</cx:pt>
          <cx:pt idx="860">47.799999999999997</cx:pt>
          <cx:pt idx="861">25.5</cx:pt>
          <cx:pt idx="862">30</cx:pt>
          <cx:pt idx="863">51.600000000000001</cx:pt>
          <cx:pt idx="864">35</cx:pt>
          <cx:pt idx="865">14.9</cx:pt>
          <cx:pt idx="866">37.5</cx:pt>
          <cx:pt idx="867">59.899999999999999</cx:pt>
          <cx:pt idx="868">55.100000000000001</cx:pt>
          <cx:pt idx="869">52.200000000000003</cx:pt>
          <cx:pt idx="870">61.200000000000003</cx:pt>
          <cx:pt idx="871">66.700000000000003</cx:pt>
          <cx:pt idx="872">51.100000000000001</cx:pt>
          <cx:pt idx="873">15.300000000000001</cx:pt>
          <cx:pt idx="874">9.9000000000000004</cx:pt>
          <cx:pt idx="875">32</cx:pt>
          <cx:pt idx="876">61.299999999999997</cx:pt>
          <cx:pt idx="877">22.600000000000001</cx:pt>
          <cx:pt idx="878">9.9000000000000004</cx:pt>
          <cx:pt idx="879">0</cx:pt>
          <cx:pt idx="880">6.7999999999999998</cx:pt>
          <cx:pt idx="881">42.799999999999997</cx:pt>
          <cx:pt idx="882">50</cx:pt>
          <cx:pt idx="883">13.9</cx:pt>
          <cx:pt idx="884">26.399999999999999</cx:pt>
          <cx:pt idx="885">4.7000000000000002</cx:pt>
          <cx:pt idx="886">26.800000000000001</cx:pt>
          <cx:pt idx="887">38.600000000000001</cx:pt>
          <cx:pt idx="888">44.200000000000003</cx:pt>
          <cx:pt idx="889">0</cx:pt>
          <cx:pt idx="890">41.100000000000001</cx:pt>
          <cx:pt idx="891">30.300000000000001</cx:pt>
          <cx:pt idx="892">9.5</cx:pt>
          <cx:pt idx="893">13.5</cx:pt>
          <cx:pt idx="894">3.2000000000000002</cx:pt>
          <cx:pt idx="895">25.699999999999999</cx:pt>
          <cx:pt idx="896">6.7000000000000002</cx:pt>
          <cx:pt idx="897">16.899999999999999</cx:pt>
          <cx:pt idx="898">0</cx:pt>
          <cx:pt idx="899">2.2000000000000002</cx:pt>
          <cx:pt idx="900">4</cx:pt>
          <cx:pt idx="901">4.0999999999999996</cx:pt>
          <cx:pt idx="902">9.5999999999999996</cx:pt>
          <cx:pt idx="903">4.4000000000000004</cx:pt>
          <cx:pt idx="904">7.9000000000000004</cx:pt>
          <cx:pt idx="905">4</cx:pt>
          <cx:pt idx="906">9.9000000000000004</cx:pt>
          <cx:pt idx="907">0</cx:pt>
          <cx:pt idx="908">3.8999999999999999</cx:pt>
          <cx:pt idx="909">6.0999999999999996</cx:pt>
          <cx:pt idx="910">3.7999999999999998</cx:pt>
          <cx:pt idx="911">5.2999999999999998</cx:pt>
          <cx:pt idx="912">1</cx:pt>
          <cx:pt idx="913">8.5999999999999996</cx:pt>
          <cx:pt idx="914">0</cx:pt>
          <cx:pt idx="915">1.8</cx:pt>
          <cx:pt idx="916">16.600000000000001</cx:pt>
          <cx:pt idx="917">15.5</cx:pt>
          <cx:pt idx="918">14.300000000000001</cx:pt>
          <cx:pt idx="919">7.9000000000000004</cx:pt>
          <cx:pt idx="920">15.699999999999999</cx:pt>
          <cx:pt idx="921">34.299999999999997</cx:pt>
          <cx:pt idx="922">11.6</cx:pt>
          <cx:pt idx="923">18.800000000000001</cx:pt>
          <cx:pt idx="924">24</cx:pt>
          <cx:pt idx="925">9.5</cx:pt>
          <cx:pt idx="926">10.300000000000001</cx:pt>
          <cx:pt idx="927">39.700000000000003</cx:pt>
          <cx:pt idx="928">6.7000000000000002</cx:pt>
          <cx:pt idx="929">2.3999999999999999</cx:pt>
          <cx:pt idx="930">4.7999999999999998</cx:pt>
          <cx:pt idx="931">2.6000000000000001</cx:pt>
          <cx:pt idx="932">38.600000000000001</cx:pt>
          <cx:pt idx="933">2.6000000000000001</cx:pt>
          <cx:pt idx="934">17.300000000000001</cx:pt>
          <cx:pt idx="935">3.2999999999999998</cx:pt>
          <cx:pt idx="936">7.2000000000000002</cx:pt>
          <cx:pt idx="937">9</cx:pt>
          <cx:pt idx="938">5.7999999999999998</cx:pt>
          <cx:pt idx="939">21.899999999999999</cx:pt>
          <cx:pt idx="940">27.199999999999999</cx:pt>
          <cx:pt idx="941">7.7999999999999998</cx:pt>
          <cx:pt idx="942">0.80000000000000004</cx:pt>
          <cx:pt idx="943">21.199999999999999</cx:pt>
          <cx:pt idx="944">11</cx:pt>
          <cx:pt idx="945">0</cx:pt>
          <cx:pt idx="946">2.2000000000000002</cx:pt>
          <cx:pt idx="947">8</cx:pt>
          <cx:pt idx="948">4.2999999999999998</cx:pt>
          <cx:pt idx="949">5</cx:pt>
          <cx:pt idx="950">9.5999999999999996</cx:pt>
          <cx:pt idx="951">2.7999999999999998</cx:pt>
          <cx:pt idx="952">5.9000000000000004</cx:pt>
          <cx:pt idx="953">8.9000000000000004</cx:pt>
          <cx:pt idx="954">4.0999999999999996</cx:pt>
          <cx:pt idx="955">2.2999999999999998</cx:pt>
          <cx:pt idx="956">3.2999999999999998</cx:pt>
          <cx:pt idx="957">11.300000000000001</cx:pt>
          <cx:pt idx="958">3.2999999999999998</cx:pt>
          <cx:pt idx="959">7.5</cx:pt>
          <cx:pt idx="960">8.8000000000000007</cx:pt>
          <cx:pt idx="961">5.5</cx:pt>
          <cx:pt idx="962">4.7000000000000002</cx:pt>
          <cx:pt idx="963">11.9</cx:pt>
          <cx:pt idx="964">9.9000000000000004</cx:pt>
          <cx:pt idx="965">13.6</cx:pt>
          <cx:pt idx="966">3.7000000000000002</cx:pt>
          <cx:pt idx="967">4.0999999999999996</cx:pt>
          <cx:pt idx="968">6.5</cx:pt>
          <cx:pt idx="969">16</cx:pt>
          <cx:pt idx="970">8.8000000000000007</cx:pt>
          <cx:pt idx="971">7.5</cx:pt>
          <cx:pt idx="972">7.7999999999999998</cx:pt>
          <cx:pt idx="973">6.4000000000000004</cx:pt>
          <cx:pt idx="974">9.0999999999999996</cx:pt>
          <cx:pt idx="975">5</cx:pt>
          <cx:pt idx="976">9.0999999999999996</cx:pt>
          <cx:pt idx="977">8.0999999999999996</cx:pt>
          <cx:pt idx="978">12.800000000000001</cx:pt>
          <cx:pt idx="979">3.7000000000000002</cx:pt>
          <cx:pt idx="980">4.7999999999999998</cx:pt>
          <cx:pt idx="981">3.7999999999999998</cx:pt>
          <cx:pt idx="982">31.300000000000001</cx:pt>
          <cx:pt idx="983">6.4000000000000004</cx:pt>
          <cx:pt idx="984">5</cx:pt>
          <cx:pt idx="985">4.4000000000000004</cx:pt>
          <cx:pt idx="986">4.0999999999999996</cx:pt>
          <cx:pt idx="987">1.5</cx:pt>
          <cx:pt idx="988">25.300000000000001</cx:pt>
          <cx:pt idx="989">5.7000000000000002</cx:pt>
          <cx:pt idx="990">9</cx:pt>
          <cx:pt idx="991">2.2000000000000002</cx:pt>
          <cx:pt idx="992">3.3999999999999999</cx:pt>
          <cx:pt idx="993">2.5</cx:pt>
          <cx:pt idx="994">10.6</cx:pt>
          <cx:pt idx="995">6.5999999999999996</cx:pt>
          <cx:pt idx="996">6.2999999999999998</cx:pt>
          <cx:pt idx="997">8.0999999999999996</cx:pt>
          <cx:pt idx="998">3.7999999999999998</cx:pt>
          <cx:pt idx="999">3.8999999999999999</cx:pt>
          <cx:pt idx="1000">18.600000000000001</cx:pt>
          <cx:pt idx="1001">4.0999999999999996</cx:pt>
          <cx:pt idx="1002">2.5</cx:pt>
          <cx:pt idx="1003">2.7999999999999998</cx:pt>
          <cx:pt idx="1004">23.600000000000001</cx:pt>
          <cx:pt idx="1005">16.399999999999999</cx:pt>
          <cx:pt idx="1006">5.5</cx:pt>
          <cx:pt idx="1007">1.5</cx:pt>
          <cx:pt idx="1008">3.7999999999999998</cx:pt>
          <cx:pt idx="1009">6.7000000000000002</cx:pt>
          <cx:pt idx="1010">23.600000000000001</cx:pt>
          <cx:pt idx="1011">6.7999999999999998</cx:pt>
          <cx:pt idx="1012">7</cx:pt>
        </cx:lvl>
      </cx:numDim>
    </cx:data>
  </cx:chartData>
  <cx:chart>
    <cx:title pos="t" align="ctr" overlay="0">
      <cx:tx>
        <cx:rich>
          <a:bodyPr spcFirstLastPara="1" vertOverflow="ellipsis" horzOverflow="overflow" wrap="square" lIns="0" tIns="0" rIns="0" bIns="0" anchor="ctr" anchorCtr="1"/>
          <a:lstStyle/>
          <a:p>
            <a:pPr algn="ctr" rtl="0" fontAlgn="base">
              <a:buNone/>
            </a:pPr>
            <a:r>
              <a:rPr lang="en-US" altLang="zh-CN" sz="1400" b="0" i="0" baseline="0">
                <a:solidFill>
                  <a:srgbClr val="595959"/>
                </a:solidFill>
                <a:effectLst/>
                <a:latin typeface="Times New Roman" panose="02020603050405020304" pitchFamily="18" charset="0"/>
                <a:ea typeface="宋体" panose="02010600030101010101" pitchFamily="2" charset="-122"/>
                <a:cs typeface="Calibri" panose="020F0502020204030204" pitchFamily="34" charset="0"/>
              </a:rPr>
              <a:t>Frequency of % Refused Students taking ELA test</a:t>
            </a:r>
            <a:r>
              <a:rPr lang="zh-CN" altLang="en-US" sz="1400" b="0" i="0" baseline="0">
                <a:solidFill>
                  <a:srgbClr val="595959"/>
                </a:solidFill>
                <a:effectLst/>
                <a:latin typeface="Times New Roman" panose="02020603050405020304" pitchFamily="18" charset="0"/>
                <a:ea typeface="宋体" panose="02010600030101010101" pitchFamily="2" charset="-122"/>
                <a:cs typeface="Calibri" panose="020F0502020204030204" pitchFamily="34" charset="0"/>
              </a:rPr>
              <a:t> </a:t>
            </a:r>
            <a:r>
              <a:rPr lang="en-US" altLang="zh-CN" sz="1400" b="0" i="0" baseline="0">
                <a:solidFill>
                  <a:srgbClr val="595959"/>
                </a:solidFill>
                <a:effectLst/>
                <a:latin typeface="Times New Roman" panose="02020603050405020304" pitchFamily="18" charset="0"/>
                <a:ea typeface="宋体" panose="02010600030101010101" pitchFamily="2" charset="-122"/>
                <a:cs typeface="Calibri" panose="020F0502020204030204" pitchFamily="34" charset="0"/>
              </a:rPr>
              <a:t>by school</a:t>
            </a:r>
          </a:p>
        </cx:rich>
      </cx:tx>
    </cx:title>
    <cx:plotArea>
      <cx:plotAreaRegion>
        <cx:series layoutId="boxWhisker" uniqueId="{D95E221F-8065-1B4E-B6C3-18896CAE2066}">
          <cx:tx>
            <cx:txData>
              <cx:f>ELA!$F$1</cx:f>
              <cx:v/>
            </cx:txData>
          </cx:tx>
          <cx:dataId val="0"/>
          <cx:layoutPr>
            <cx:visibility meanLine="1" meanMarker="1" nonoutliers="0" outliers="1"/>
            <cx:statistics quartileMethod="exclusive"/>
          </cx:layoutPr>
        </cx:series>
      </cx:plotAreaRegion>
      <cx:axis id="0" hidden="1">
        <cx:catScaling gapWidth="1"/>
        <cx:tickLabels/>
      </cx:axis>
      <cx:axis id="1">
        <cx:valScaling/>
        <cx:title>
          <cx:tx>
            <cx:txData>
              <cx:v>Percent refused (%)</cx:v>
            </cx:txData>
          </cx:tx>
          <cx:txPr>
            <a:bodyPr spcFirstLastPara="1" vertOverflow="ellipsis" horzOverflow="overflow" wrap="square" lIns="0" tIns="0" rIns="0" bIns="0" anchor="ctr" anchorCtr="1"/>
            <a:lstStyle/>
            <a:p>
              <a:pPr algn="ctr" rtl="0">
                <a:defRPr/>
              </a:pPr>
              <a:r>
                <a:rPr lang="en-US" altLang="zh-CN" sz="900" b="0" i="0" u="none" strike="noStrike" baseline="0">
                  <a:solidFill>
                    <a:sysClr val="windowText" lastClr="000000">
                      <a:lumMod val="65000"/>
                      <a:lumOff val="35000"/>
                    </a:sysClr>
                  </a:solidFill>
                  <a:latin typeface="Times New Roman" panose="02020603050405020304" pitchFamily="18" charset="0"/>
                  <a:ea typeface="等线" panose="02010600030101010101" pitchFamily="2" charset="-122"/>
                  <a:cs typeface="Times New Roman" panose="02020603050405020304" pitchFamily="18" charset="0"/>
                </a:rPr>
                <a:t>Percent refused (%)</a:t>
              </a:r>
            </a:p>
          </cx:txPr>
        </cx:title>
        <cx:majorGridlines/>
        <cx:tickLabels/>
      </cx:axis>
    </cx:plotArea>
  </cx:chart>
</cx: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73">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1066</Words>
  <Characters>6079</Characters>
  <Application>Microsoft Office Word</Application>
  <DocSecurity>0</DocSecurity>
  <Lines>50</Lines>
  <Paragraphs>14</Paragraphs>
  <ScaleCrop>false</ScaleCrop>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Yuhong Luo (Yuhong)</dc:creator>
  <cp:keywords/>
  <dc:description/>
  <cp:lastModifiedBy>Yuhong Luo (Yuhong)</cp:lastModifiedBy>
  <cp:revision>2</cp:revision>
  <dcterms:created xsi:type="dcterms:W3CDTF">2025-11-26T23:51:00Z</dcterms:created>
  <dcterms:modified xsi:type="dcterms:W3CDTF">2025-11-26T23:51:00Z</dcterms:modified>
</cp:coreProperties>
</file>