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6" w:space="4" w:color="B4C7E7"/>
        </w:pBdr>
      </w:pPr>
      <w:r>
        <w:rPr>
          <w:rFonts w:ascii="Calibri" w:hAnsi="Calibri" w:eastAsia="微软雅黑"/>
          <w:b/>
          <w:color w:val="1F4D78"/>
          <w:sz w:val="40"/>
        </w:rPr>
        <w:t>球房数字化工具 · 业务交接文档</w:t>
      </w:r>
    </w:p>
    <w:p>
      <w:pPr>
        <w:spacing w:after="40"/>
      </w:pPr>
      <w:r>
        <w:rPr>
          <w:rFonts w:ascii="Calibri" w:hAnsi="Calibri" w:eastAsia="微软雅黑"/>
          <w:color w:val="595959"/>
          <w:sz w:val="24"/>
        </w:rPr>
        <w:t>营收日报 v2.5 · 周报 · 业务背景与解决方案全记录（交接给新接手开发方）</w:t>
      </w:r>
    </w:p>
    <w:p>
      <w:pPr>
        <w:spacing w:after="200"/>
      </w:pPr>
      <w:r>
        <w:rPr>
          <w:rFonts w:ascii="Calibri" w:hAnsi="Calibri" w:eastAsia="微软雅黑"/>
          <w:color w:val="808080"/>
          <w:sz w:val="19"/>
        </w:rPr>
        <w:t>门店：铜陵UU台球俱乐部　|　整理日期：2026-08-05　|　配套文件：daily-report-v2-源码.zip（内含 设计规范.md、日报功能设计方案.md、本文件）</w:t>
      </w:r>
    </w:p>
    <w:p>
      <w:pPr>
        <w:pStyle w:val="Heading1"/>
      </w:pPr>
      <w:r>
        <w:t>1 文档目的与阅读指引</w:t>
      </w:r>
    </w:p>
    <w:p>
      <w:pPr>
        <w:spacing w:after="120"/>
      </w:pPr>
      <w:r>
        <w:rPr>
          <w:rFonts w:ascii="Calibri" w:hAnsi="Calibri" w:eastAsia="微软雅黑"/>
        </w:rPr>
        <w:t>本文档把球房数字化工具项目至今确认的全部业务情况、业务场景、面临的问题和已商定的解决方案整理成文字，供新接手开发方（人或 AI）快速理解背景并继续开发。开发时必须同时阅读源码包中的《设计规范.md》和《日报功能设计方案.md》，界面风格与页面结构以设计规范为准，功能范围以本文件与功能设计方案为准。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第一原则：</w:t>
      </w:r>
      <w:r>
        <w:rPr>
          <w:rFonts w:ascii="Calibri" w:hAnsi="Calibri" w:eastAsia="微软雅黑"/>
        </w:rPr>
        <w:t>业务系统：台客多（商云宝后台）是必须使用的专业系统，小工具只做辅助，不重复造轮子。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产品定位：</w:t>
      </w:r>
      <w:r>
        <w:rPr>
          <w:rFonts w:ascii="Calibri" w:hAnsi="Calibri" w:eastAsia="微软雅黑"/>
        </w:rPr>
        <w:t>小工具定位：自动装配数据、资金核对、汇报输出；保持轻量，宁缺毋滥。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形态决策：</w:t>
      </w:r>
      <w:r>
        <w:rPr>
          <w:rFonts w:ascii="Calibri" w:hAnsi="Calibri" w:eastAsia="微软雅黑"/>
        </w:rPr>
        <w:t>所有功能做成一个工作台（一个 exe），内部按模块组织，不拆成多个小软件。</w:t>
      </w:r>
    </w:p>
    <w:p>
      <w:pPr>
        <w:pStyle w:val="Heading1"/>
      </w:pPr>
      <w:r>
        <w:t>2 业务全景：这家店怎么运转</w:t>
      </w:r>
    </w:p>
    <w:p>
      <w:pPr>
        <w:pStyle w:val="Heading2"/>
      </w:pPr>
      <w:r>
        <w:t>2.1 门店与系统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500"/>
        <w:gridCol w:w="7526"/>
      </w:tblGrid>
      <w:tr>
        <w:trPr>
          <w:tblHeader w:val="true"/>
        </w:trPr>
        <w:tc>
          <w:tcPr>
            <w:tcW w:type="dxa" w:w="15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75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门店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铜陵UU台球俱乐部，单店运营，约 16~28 张台桌（台桌数可在软件设置中调整）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商云宝 = 台客多后台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admin.taikeduo.com（版本 3.1.9）。前台收银机、库存、会员、报表都在这里，是“经营记录系统”，必须使用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拉卡拉支付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商云宝收款走拉卡拉渠道，提现手续费贵；店里不推荐客人扫商云宝付款，只用来记录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农商银行二维码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客人扫码（微信/支付宝/网银均可）→ 钱直接进农商银行卡，是资金真账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现金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放在店里，次日或攒几天再存银行；不进当日银行流水</w:t>
            </w:r>
          </w:p>
        </w:tc>
      </w:tr>
    </w:tbl>
    <w:p>
      <w:pPr>
        <w:spacing w:after="40"/>
      </w:pPr>
    </w:p>
    <w:p>
      <w:pPr>
        <w:pStyle w:val="Heading2"/>
      </w:pPr>
      <w:r>
        <w:t>2.2 团队角色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500"/>
        <w:gridCol w:w="7526"/>
      </w:tblGrid>
      <w:tr>
        <w:trPr>
          <w:tblHeader w:val="true"/>
        </w:trPr>
        <w:tc>
          <w:tcPr>
            <w:tcW w:type="dxa" w:w="15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75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前台员工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在商云宝录入经营（开台、售货、核销团购、会员充值、现金收银）；在日报中填团购核销、现金盘点、会员信息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店长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导出商云宝报表；核对农商银行实收；处理对账差异；定稿日报/周报并发给股东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股东/投资方</w:t>
            </w:r>
          </w:p>
        </w:tc>
        <w:tc>
          <w:tcPr>
            <w:tcW w:type="dxa" w:w="75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只看最终日报、周报（股东版），不接触录入</w:t>
            </w:r>
          </w:p>
        </w:tc>
      </w:tr>
    </w:tbl>
    <w:p>
      <w:pPr>
        <w:spacing w:after="40"/>
      </w:pPr>
    </w:p>
    <w:p>
      <w:pPr>
        <w:pStyle w:val="Heading2"/>
      </w:pPr>
      <w:r>
        <w:t>2.3 三个核心业务场景</w:t>
      </w:r>
    </w:p>
    <w:p>
      <w:pPr>
        <w:pStyle w:val="Heading3"/>
      </w:pPr>
      <w:r>
        <w:t>场景一：每日经营（前台）</w:t>
      </w:r>
    </w:p>
    <w:p>
      <w:pPr>
        <w:spacing w:after="120"/>
      </w:pPr>
      <w:r>
        <w:rPr>
          <w:rFonts w:ascii="Calibri" w:hAnsi="Calibri" w:eastAsia="微软雅黑"/>
        </w:rPr>
        <w:t>全天经营都在商云宝里完成：开台、卖商品、教练课时、团购核销、会员充值、现金收款，全部实时录入系统。顾客付款优先扫农商二维码，钱直进银行卡；现金留在收银抽屉。</w:t>
      </w:r>
    </w:p>
    <w:p>
      <w:pPr>
        <w:pStyle w:val="Heading3"/>
      </w:pPr>
      <w:r>
        <w:t>场景二：日报（次日汇报前一天）</w:t>
      </w:r>
    </w:p>
    <w:p>
      <w:pPr>
        <w:spacing w:after="120"/>
      </w:pPr>
      <w:r>
        <w:rPr>
          <w:rFonts w:ascii="Calibri" w:hAnsi="Calibri" w:eastAsia="微软雅黑"/>
        </w:rPr>
        <w:t>前台员工每天早上做前一日日报：录入营业额（总营业额、客单总数、客单价、台桌营业额、商品营业额、教练营业额）、美团/抖音核销单数与金额、现金与会员充值信息。店长随后核对农商银行线下实收，确认真实收入与商云宝是否有错，再定稿完整日报发给股东。</w:t>
      </w:r>
    </w:p>
    <w:p>
      <w:pPr>
        <w:pStyle w:val="Heading3"/>
      </w:pPr>
      <w:r>
        <w:t>场景三：周报（每周一汇报上周一至周日）</w:t>
      </w:r>
    </w:p>
    <w:p>
      <w:pPr>
        <w:spacing w:after="120"/>
      </w:pPr>
      <w:r>
        <w:rPr>
          <w:rFonts w:ascii="Calibri" w:hAnsi="Calibri" w:eastAsia="微软雅黑"/>
        </w:rPr>
        <w:t>店长每周一导出上周（周一至周日）的商云宝各报表，一键导入，软件自动按日聚合、周汇总，输出经营复盘周报，分店长版与股东版。</w:t>
      </w:r>
    </w:p>
    <w:p>
      <w:pPr>
        <w:pStyle w:val="Heading1"/>
      </w:pPr>
      <w:r>
        <w:t>3 目前面临的问题（业务痛点）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700"/>
        <w:gridCol w:w="2300"/>
        <w:gridCol w:w="6026"/>
      </w:tblGrid>
      <w:tr>
        <w:trPr>
          <w:tblHeader w:val="true"/>
        </w:trPr>
        <w:tc>
          <w:tcPr>
            <w:tcW w:type="dxa" w:w="7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23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问题</w:t>
            </w:r>
          </w:p>
        </w:tc>
        <w:tc>
          <w:tcPr>
            <w:tcW w:type="dxa" w:w="60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营业额与线下实收对不上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商云宝“营业额”与“线下实收”口径不同（储值充值、储值消费、团购、优惠造成结构性差异），店长容易误判为账错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P2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收款不经过商云宝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商云宝/拉卡拉提现手续费贵，实际收款走农商二维码，商云宝的“实收数”不是真钱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P3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现金隔天或攒存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银行流水与当日收入对不上，存款那天银行卡会多一笔“现金存入”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P4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团购核销数平台最准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美团/抖音核销单数与金额以平台后台为准，自动导入反而引入误差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P5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每天导出多份报表太麻烦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日报只应依赖必要的报表；会员等明细报表应放到周报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P6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员工能看到敏感功能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单机软件所有功能员工都可见，需要角色隔离（对账、银行实收、股东版等仅店长可见）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P7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功能堆叠会变笨重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一个软件里乱加功能会变复杂、多 bug，必须按模块按需添加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P8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数据只在本机</w:t>
            </w:r>
          </w:p>
        </w:tc>
        <w:tc>
          <w:tcPr>
            <w:tcW w:type="dxa" w:w="60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老板/股东查看不便，后续通过云文档（飞书多维表格）共享只读链接</w:t>
            </w:r>
          </w:p>
        </w:tc>
      </w:tr>
    </w:tbl>
    <w:p>
      <w:pPr>
        <w:spacing w:after="40"/>
      </w:pPr>
    </w:p>
    <w:p>
      <w:pPr>
        <w:pStyle w:val="Heading1"/>
      </w:pPr>
      <w:r>
        <w:t>4 已确认的解决方向（设计决策）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D1 产品定位：</w:t>
      </w:r>
      <w:r>
        <w:rPr>
          <w:rFonts w:ascii="Calibri" w:hAnsi="Calibri" w:eastAsia="微软雅黑"/>
        </w:rPr>
        <w:t>台客多/商云宝是业务系统必须使用；小工具只做辅助。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D2 产品形态：</w:t>
      </w:r>
      <w:r>
        <w:rPr>
          <w:rFonts w:ascii="Calibri" w:hAnsi="Calibri" w:eastAsia="微软雅黑"/>
        </w:rPr>
        <w:t>一个工作台、模块化：日报 + 周报 +（后续工具按需添加），不拆多个 exe。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D3 角色隔离：</w:t>
      </w:r>
      <w:r>
        <w:rPr>
          <w:rFonts w:ascii="Calibri" w:hAnsi="Calibri" w:eastAsia="微软雅黑"/>
        </w:rPr>
        <w:t>员工模式/店长模式（密码），员工看不到对账、银行实收、股东版等敏感模块。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D4 对账桥：</w:t>
      </w:r>
      <w:r>
        <w:rPr>
          <w:rFonts w:ascii="Calibri" w:hAnsi="Calibri" w:eastAsia="微软雅黑"/>
        </w:rPr>
        <w:t>应到账 = 营业额 + 储值充值 − 储值消费；实际到账 = 当日现金收款 + 农商卡当日到账 − 当日现金存入；差异 = 实际到账 − 应到账；容差默认 3 元，差异分绿/黄/红三档并闭环处理。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D5 日报方式：</w:t>
      </w:r>
      <w:r>
        <w:rPr>
          <w:rFonts w:ascii="Calibri" w:hAnsi="Calibri" w:eastAsia="微软雅黑"/>
        </w:rPr>
        <w:t>前台手填团购核销、现金、会员 3 个数；店长导入商云宝经营报表并录入农商卡到账；不导报表也能出日报。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D6 周报方式：</w:t>
      </w:r>
      <w:r>
        <w:rPr>
          <w:rFonts w:ascii="Calibri" w:hAnsi="Calibri" w:eastAsia="微软雅黑"/>
        </w:rPr>
        <w:t>每周一导入上周全部商云宝报表，自动汇总分析，输出店长版与股东版。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  <w:b/>
        </w:rPr>
        <w:t>D7 云文档（后续）：</w:t>
      </w:r>
      <w:r>
        <w:rPr>
          <w:rFonts w:ascii="Calibri" w:hAnsi="Calibri" w:eastAsia="微软雅黑"/>
        </w:rPr>
        <w:t>飞书多维表格免费版当共享数据库与看板，员工微信点只读链接查看，无需使用飞书软件。</w:t>
      </w:r>
    </w:p>
    <w:p>
      <w:pPr>
        <w:pStyle w:val="Heading1"/>
      </w:pPr>
      <w:r>
        <w:t>5 商云宝报表清单与用途（已实测确认）</w:t>
      </w:r>
    </w:p>
    <w:p>
      <w:pPr>
        <w:spacing w:after="120"/>
      </w:pPr>
      <w:r>
        <w:rPr>
          <w:rFonts w:ascii="Calibri" w:hAnsi="Calibri" w:eastAsia="微软雅黑"/>
        </w:rPr>
        <w:t>报表中心可见：综合报表、经营报表、券核销报表、会员卡变动记录、会员卡消费报表、会员详情、礼金变动记录、会员储值报表、会员分析报表等；商品、台桌、财务板块下还有更多报表。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650"/>
        <w:gridCol w:w="3550"/>
        <w:gridCol w:w="2476"/>
        <w:gridCol w:w="1350"/>
      </w:tblGrid>
      <w:tr>
        <w:trPr>
          <w:tblHeader w:val="true"/>
        </w:trPr>
        <w:tc>
          <w:tcPr>
            <w:tcW w:type="dxa" w:w="165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报表</w:t>
            </w:r>
          </w:p>
        </w:tc>
        <w:tc>
          <w:tcPr>
            <w:tcW w:type="dxa" w:w="355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关键字段</w:t>
            </w:r>
          </w:p>
        </w:tc>
        <w:tc>
          <w:tcPr>
            <w:tcW w:type="dxa" w:w="247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135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频率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经营报表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总营业额、客单总数、客单价、台桌/商品/教练/礼物/充电宝、美团/抖音团购、台桌概况、支付概况（现金/聚合/储值卡等）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日报核心 + 周报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每日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综合报表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储值卡充值/消费、台费卡、优惠、团购券抵扣、开台总时长、区域营业额与翻台率、商品分类、教练课程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周报/月报补充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每日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第三方平台报表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团购券名称、归属平台、售价、结算金额、核销时间（美团/抖音核销明细）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周报核销分析（日报改为手填）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按需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会员储值报表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会员、充值类型、充值金额、赠送金额、余额、支付方式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周报会员分析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会员卡消费报表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会员、订单、支付方式、应扣/实扣金额、余额、消费时间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周报会员分析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会员分析报表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待确认（可能含新增会员数）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周报（需验证）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商品综合报表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销售数量/金额、入库/出库、赠送、损坏、丢失、毛利、毛利率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周报商品分析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库存变动明细报表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商品、仓库、变动类型/子类型、数量、成本、操作人、时间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周报库存与异常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周报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会员列表（会员中心）</w:t>
            </w:r>
          </w:p>
        </w:tc>
        <w:tc>
          <w:tcPr>
            <w:tcW w:type="dxa" w:w="35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会员、注册时间、等级</w:t>
            </w:r>
          </w:p>
        </w:tc>
        <w:tc>
          <w:tcPr>
            <w:tcW w:type="dxa" w:w="247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新增会员统计（可选）</w:t>
            </w:r>
          </w:p>
        </w:tc>
        <w:tc>
          <w:tcPr>
            <w:tcW w:type="dxa" w:w="135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按需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</w:rPr>
        <w:t>重要：</w:t>
      </w:r>
      <w:r>
        <w:rPr>
          <w:rFonts w:ascii="Calibri" w:hAnsi="Calibri" w:eastAsia="微软雅黑"/>
        </w:rPr>
        <w:t>注意：经营报表目前只有店长能从商云宝导出；第三方平台报表中“结算金额”当前为 0，团购金额口径按“售价”统计。</w:t>
      </w:r>
    </w:p>
    <w:p>
      <w:pPr>
        <w:pStyle w:val="Heading1"/>
      </w:pPr>
      <w:r>
        <w:t>6 日报功能最终方案（v2.5）</w:t>
      </w:r>
    </w:p>
    <w:p>
      <w:pPr>
        <w:pStyle w:val="Heading2"/>
      </w:pPr>
      <w:r>
        <w:t>6.1 角色分工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200"/>
        <w:gridCol w:w="7826"/>
      </w:tblGrid>
      <w:tr>
        <w:trPr>
          <w:tblHeader w:val="true"/>
        </w:trPr>
        <w:tc>
          <w:tcPr>
            <w:tcW w:type="dxa" w:w="12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78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前台</w:t>
            </w:r>
          </w:p>
        </w:tc>
        <w:tc>
          <w:tcPr>
            <w:tcW w:type="dxa" w:w="78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手填：美团核销单数/金额、抖音核销单数/金额、当日现金收款、会员充值金额/赠送/新增会员、备注；提交后锁定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店长</w:t>
            </w:r>
          </w:p>
        </w:tc>
        <w:tc>
          <w:tcPr>
            <w:tcW w:type="dxa" w:w="78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导入商云宝经营报表（自动带入营业额分项、客单总数、储值消费）；录入农商卡当日到账与当日现金存入；处理差异；定稿；发送股东</w:t>
            </w:r>
          </w:p>
        </w:tc>
      </w:tr>
    </w:tbl>
    <w:p>
      <w:pPr>
        <w:spacing w:after="40"/>
      </w:pPr>
    </w:p>
    <w:p>
      <w:pPr>
        <w:pStyle w:val="Heading2"/>
      </w:pPr>
      <w:r>
        <w:t>6.2 前台录入区字段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300"/>
        <w:gridCol w:w="4000"/>
        <w:gridCol w:w="3726"/>
      </w:tblGrid>
      <w:tr>
        <w:trPr>
          <w:tblHeader w:val="true"/>
        </w:trPr>
        <w:tc>
          <w:tcPr>
            <w:tcW w:type="dxa" w:w="13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区块</w:t>
            </w:r>
          </w:p>
        </w:tc>
        <w:tc>
          <w:tcPr>
            <w:tcW w:type="dxa" w:w="40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7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来源/说明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团购核销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美团：核销单数、核销金额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手填，从美团后台查询（最准）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团购核销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抖音：核销单数、核销金额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手填，从抖音后台查询（最准）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充值金额、赠送金额、新增会员数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手填 3 个数；储值消费由经营报表导入自动带入，前台不填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现金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当日现金收款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前台交班点算：交班余额 − 接班余额/备用金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备注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异常、客诉、待办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手填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自动带入</w:t>
            </w:r>
          </w:p>
        </w:tc>
        <w:tc>
          <w:tcPr>
            <w:tcW w:type="dxa" w:w="4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总营业额、台桌/商品/教练营业额、客单总数、储值消费</w:t>
            </w:r>
          </w:p>
        </w:tc>
        <w:tc>
          <w:tcPr>
            <w:tcW w:type="dxa" w:w="37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店长导入经营报表后自动填充；客单价 = 总营业额 ÷ 客单总数 自动计算</w:t>
            </w:r>
          </w:p>
        </w:tc>
      </w:tr>
    </w:tbl>
    <w:p>
      <w:pPr>
        <w:spacing w:after="40"/>
      </w:pPr>
    </w:p>
    <w:p>
      <w:pPr>
        <w:pStyle w:val="Heading2"/>
      </w:pPr>
      <w:r>
        <w:t>6.3 店长核对区与对账公式</w:t>
      </w:r>
    </w:p>
    <w:p>
      <w:pPr>
        <w:spacing w:after="120"/>
      </w:pPr>
      <w:r>
        <w:rPr>
          <w:rFonts w:ascii="Calibri" w:hAnsi="Calibri" w:eastAsia="微软雅黑"/>
          <w:b/>
        </w:rPr>
        <w:t>公式一：</w:t>
      </w:r>
      <w:r>
        <w:rPr>
          <w:rFonts w:ascii="Calibri" w:hAnsi="Calibri" w:eastAsia="微软雅黑"/>
        </w:rPr>
        <w:t>应到账 = 营业额 + 储值充值 − 储值消费</w:t>
      </w:r>
    </w:p>
    <w:p>
      <w:pPr>
        <w:spacing w:after="120"/>
      </w:pPr>
      <w:r>
        <w:rPr>
          <w:rFonts w:ascii="Calibri" w:hAnsi="Calibri" w:eastAsia="微软雅黑"/>
          <w:b/>
        </w:rPr>
        <w:t>公式二：</w:t>
      </w:r>
      <w:r>
        <w:rPr>
          <w:rFonts w:ascii="Calibri" w:hAnsi="Calibri" w:eastAsia="微软雅黑"/>
        </w:rPr>
        <w:t>实际到账 = 当日现金收款 + 农商卡当日到账 − 当日现金存入</w:t>
      </w:r>
    </w:p>
    <w:p>
      <w:pPr>
        <w:spacing w:after="120"/>
      </w:pPr>
      <w:r>
        <w:rPr>
          <w:rFonts w:ascii="Calibri" w:hAnsi="Calibri" w:eastAsia="微软雅黑"/>
          <w:b/>
        </w:rPr>
        <w:t>公式三：</w:t>
      </w:r>
      <w:r>
        <w:rPr>
          <w:rFonts w:ascii="Calibri" w:hAnsi="Calibri" w:eastAsia="微软雅黑"/>
        </w:rPr>
        <w:t>差异 = 实际到账 − 应到账；差异在容差内显示绿色（正常），有原因显示黄色（已解释），查不清显示红色（待查，每日提醒）。</w:t>
      </w:r>
    </w:p>
    <w:p>
      <w:pPr>
        <w:spacing w:after="120"/>
      </w:pPr>
      <w:r>
        <w:rPr>
          <w:rFonts w:ascii="Calibri" w:hAnsi="Calibri" w:eastAsia="微软雅黑"/>
          <w:b/>
        </w:rPr>
        <w:t>口径验证：</w:t>
      </w:r>
      <w:r>
        <w:rPr>
          <w:rFonts w:ascii="Calibri" w:hAnsi="Calibri" w:eastAsia="微软雅黑"/>
        </w:rPr>
        <w:t>真实案例（2026-08-02）：营业额 2236.66 = 台桌 728.55 + 商品 722.90 + 教练 785.21；储值充值 1000，储值消费 484.35 → 应到账 2752.31，与商云宝线下收款一致；农商卡 + 现金实际约 2754，真差异仅 1.69 元（舍入/到账时间差，容差内正常）。</w:t>
      </w:r>
    </w:p>
    <w:p>
      <w:pPr>
        <w:pStyle w:val="Heading2"/>
      </w:pPr>
      <w:r>
        <w:t>6.4 状态流转与留痕</w:t>
      </w:r>
    </w:p>
    <w:p>
      <w:pPr>
        <w:spacing w:after="120"/>
      </w:pPr>
      <w:r>
        <w:rPr>
          <w:rFonts w:ascii="Calibri" w:hAnsi="Calibri" w:eastAsia="微软雅黑"/>
        </w:rPr>
        <w:t>录入中 → 已提交（待核对）→ 核对中 → 已定稿 → 已发送；每个状态记录操作人与时间；定稿后修改需解锁并留痕。</w:t>
      </w:r>
    </w:p>
    <w:p>
      <w:pPr>
        <w:pStyle w:val="Heading2"/>
      </w:pPr>
      <w:r>
        <w:t>6.5 输出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员工版：第一段 + 汇总，供交班、内部存档；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股东版：全部数据 + 对账结论（应到账、银行实收、差异及原因），仅店长可导出；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微信文案、PDF、Excel、长图均分两版；定稿后自动上传云文档（飞书多维表格，后续接入）。</w:t>
      </w:r>
    </w:p>
    <w:p>
      <w:pPr>
        <w:pStyle w:val="Heading1"/>
      </w:pPr>
      <w:r>
        <w:t>7 周报功能方案</w:t>
      </w:r>
    </w:p>
    <w:p>
      <w:pPr>
        <w:pStyle w:val="Heading2"/>
      </w:pPr>
      <w:r>
        <w:t>7.1 定位与流程</w:t>
      </w:r>
    </w:p>
    <w:p>
      <w:pPr>
        <w:spacing w:after="120"/>
      </w:pPr>
      <w:r>
        <w:rPr>
          <w:rFonts w:ascii="Calibri" w:hAnsi="Calibri" w:eastAsia="微软雅黑"/>
        </w:rPr>
        <w:t>每周一汇报上周一至周日：店长导出上周各报表 → 一键导入 → 软件按日聚合 + 周汇总 → 店长写复盘结论 → 定稿 → 导出 PDF/Excel/微信文案并上传云文档。</w:t>
      </w:r>
    </w:p>
    <w:p>
      <w:pPr>
        <w:pStyle w:val="Heading2"/>
      </w:pPr>
      <w:r>
        <w:t>7.2 周报内容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周营收、日均营收、环比上周；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每日营收趋势（总营业额/台桌/商品/教练）；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台桌运营：周翻台率、台时利用率、高峰时段；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团购核销汇总：美团/抖音单数、金额；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会员分析：充值金额、赠送金额、储值消费、新增会员、消费笔数；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商品分析：TOP 商品销量与毛利、分类占比；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库存与异常：出入库汇总、低库存预警、异常记录汇总；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周对账：周差异汇总与处理结论；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店长复盘结论（手写一段）。</w:t>
      </w:r>
    </w:p>
    <w:p>
      <w:pPr>
        <w:pStyle w:val="Heading2"/>
      </w:pPr>
      <w:r>
        <w:t>7.3 输出</w:t>
      </w:r>
    </w:p>
    <w:p>
      <w:pPr>
        <w:spacing w:after="120"/>
      </w:pPr>
      <w:r>
        <w:rPr>
          <w:rFonts w:ascii="Calibri" w:hAnsi="Calibri" w:eastAsia="微软雅黑"/>
        </w:rPr>
        <w:t>周报分店长版与股东版，同样给股东看；新增会员数按前台手填数周汇总。</w:t>
      </w:r>
    </w:p>
    <w:p>
      <w:pPr>
        <w:pStyle w:val="Heading1"/>
      </w:pPr>
      <w:r>
        <w:t>8 技术现状与开发约束</w:t>
      </w:r>
    </w:p>
    <w:p>
      <w:pPr>
        <w:pStyle w:val="Heading2"/>
      </w:pPr>
      <w:r>
        <w:t>8.1 现有技术栈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1400"/>
        <w:gridCol w:w="3400"/>
        <w:gridCol w:w="4226"/>
      </w:tblGrid>
      <w:tr>
        <w:trPr>
          <w:tblHeader w:val="true"/>
        </w:trPr>
        <w:tc>
          <w:tcPr>
            <w:tcW w:type="dxa" w:w="14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层次</w:t>
            </w:r>
          </w:p>
        </w:tc>
        <w:tc>
          <w:tcPr>
            <w:tcW w:type="dxa" w:w="34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技术</w:t>
            </w:r>
          </w:p>
        </w:tc>
        <w:tc>
          <w:tcPr>
            <w:tcW w:type="dxa" w:w="42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前端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React 19 + TypeScript + Tailwind CSS + shadcn/ui</w:t>
            </w:r>
          </w:p>
        </w:tc>
        <w:tc>
          <w:tcPr>
            <w:tcW w:type="dxa" w:w="42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现有 v2 前端，界面风格用户满意，必须保持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桌面壳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Python + pywebview</w:t>
            </w:r>
          </w:p>
        </w:tc>
        <w:tc>
          <w:tcPr>
            <w:tcW w:type="dxa" w:w="42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desktop.py 启动本地静态服务并打开窗口，桥接保存/读取/选目录/导出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打包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PyInstaller（营收日报.spec）</w:t>
            </w:r>
          </w:p>
        </w:tc>
        <w:tc>
          <w:tcPr>
            <w:tcW w:type="dxa" w:w="42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单文件 exe，带图标与 dist 前端资源；打包命令：pyinstaller 营收日报.spec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数据存储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localStorage + exe 旁「数据」文件夹 JSON</w:t>
            </w:r>
          </w:p>
        </w:tc>
        <w:tc>
          <w:tcPr>
            <w:tcW w:type="dxa" w:w="42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桌面版自动同步备份到数据文件夹；换电脑复制数据文件夹或导出备份即可迁移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导入能力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src/lib/importers.js</w:t>
            </w:r>
          </w:p>
        </w:tc>
        <w:tc>
          <w:tcPr>
            <w:tcW w:type="dxa" w:w="42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已支持台客多/商云宝报表字段识别（表头自动匹配），可复用扩展</w:t>
            </w:r>
          </w:p>
        </w:tc>
      </w:tr>
    </w:tbl>
    <w:p>
      <w:pPr>
        <w:spacing w:after="40"/>
      </w:pPr>
    </w:p>
    <w:p>
      <w:pPr>
        <w:pStyle w:val="Heading2"/>
      </w:pPr>
      <w:r>
        <w:t>8.2 开发与运行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新电脑开发：npm install → npm run dev（调试）/ npm run build（产出 dist）；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测试导入回归：npm run test:importers；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打包 exe：安装 Python + pywebview + PyInstaller 后执行 pyinstaller 营收日报.spec；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界面风格：一切新增/优化必须遵守《设计规范.md》（浅灰底、白卡片、等宽数字、统一组件、固定页面结构）。</w:t>
      </w:r>
    </w:p>
    <w:p>
      <w:pPr>
        <w:pStyle w:val="Heading2"/>
      </w:pPr>
      <w:r>
        <w:t>8.3 云文档（后续阶段）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选型：飞书多维表格免费版（单表 2000 行可免费扩容至 2 万行，API 每月约 1 万次调用），软件通过开放 API 自动读写；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团队使用：微信照常用，员工点只读链接查看；编辑维护由店长/老板用网页版完成，无需安装飞书软件；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排除项：钉钉宜搭免费版不支持开放接口；WPS 开放能力弱，均不采用；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微软雅黑"/>
        </w:rPr>
        <w:t>落地顺序：先做本地版日报/周报，稳定后再接飞书自动上传。</w:t>
      </w:r>
    </w:p>
    <w:p>
      <w:pPr>
        <w:pStyle w:val="Heading1"/>
      </w:pPr>
      <w:r>
        <w:t>9 待办与待确认事项</w:t>
      </w:r>
    </w:p>
    <w:tbl>
      <w:tblPr>
        <w:tblStyle w:val="TableGrid"/>
        <w:tblW w:type="dxa" w:w="9026"/>
        <w:jc w:val="left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Ind w:w="120" w:type="dxa"/>
      </w:tblPr>
      <w:tblGrid>
        <w:gridCol w:w="3400"/>
        <w:gridCol w:w="5626"/>
      </w:tblGrid>
      <w:tr>
        <w:trPr>
          <w:tblHeader w:val="true"/>
        </w:trPr>
        <w:tc>
          <w:tcPr>
            <w:tcW w:type="dxa" w:w="3400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5626"/>
            <w:vAlign w:val="center"/>
            <w:shd w:val="clear"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当前结论/下一步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会员分析报表是否含新增会员数</w:t>
            </w:r>
          </w:p>
        </w:tc>
        <w:tc>
          <w:tcPr>
            <w:tcW w:type="dxa" w:w="56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需在商云宝报表中心验证；若无，新增会员数由前台手填（当前方案）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农商银行流水能否导出</w:t>
            </w:r>
          </w:p>
        </w:tc>
        <w:tc>
          <w:tcPr>
            <w:tcW w:type="dxa" w:w="56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能导出则对账区可自动导入比对；当前按手填总数设计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飞书云文档接入时机</w:t>
            </w:r>
          </w:p>
        </w:tc>
        <w:tc>
          <w:tcPr>
            <w:tcW w:type="dxa" w:w="56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先完成本地版日报/周报，再接入自动上传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台客多报表导出权限</w:t>
            </w:r>
          </w:p>
        </w:tc>
        <w:tc>
          <w:tcPr>
            <w:tcW w:type="dxa" w:w="56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经营报表仅店长可导出，与角色分工一致，无需变更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开发顺序</w:t>
            </w:r>
          </w:p>
        </w:tc>
        <w:tc>
          <w:tcPr>
            <w:tcW w:type="dxa" w:w="5626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微软雅黑"/>
                <w:sz w:val="20"/>
              </w:rPr>
              <w:t>建议先做日报（含角色切换、对账桥、状态流转），再做周报，最后接云文档</w:t>
            </w:r>
          </w:p>
        </w:tc>
      </w:tr>
    </w:tbl>
    <w:p>
      <w:pPr>
        <w:spacing w:after="40"/>
      </w:pPr>
    </w:p>
    <w:p>
      <w:pPr>
        <w:pStyle w:val="Heading1"/>
      </w:pPr>
      <w:r>
        <w:t>10 附录：真实数据示例（2026-08-02）</w:t>
      </w:r>
    </w:p>
    <w:p>
      <w:pPr>
        <w:spacing w:after="120"/>
      </w:pPr>
      <w:r>
        <w:rPr>
          <w:rFonts w:ascii="Calibri" w:hAnsi="Calibri" w:eastAsia="微软雅黑"/>
        </w:rPr>
        <w:t>台桌 728.55 + 商品 722.90 + 教练 785.21 = 总营业额 2236.66；储值卡充值 1000（现金支付）；储值卡消费 484.35。</w:t>
      </w:r>
    </w:p>
    <w:p>
      <w:pPr>
        <w:spacing w:after="120"/>
      </w:pPr>
      <w:r>
        <w:rPr>
          <w:rFonts w:ascii="Calibri" w:hAnsi="Calibri" w:eastAsia="微软雅黑"/>
        </w:rPr>
        <w:t>应到账 = 2236.66 + 1000 − 484.35 = 2752.31 = 商云宝线下收款；银行实收约 2754；真差异 1.69 元（容差内）。</w:t>
      </w:r>
    </w:p>
    <w:p>
      <w:pPr>
        <w:spacing w:after="120"/>
      </w:pPr>
      <w:r>
        <w:rPr>
          <w:rFonts w:ascii="Calibri" w:hAnsi="Calibri" w:eastAsia="微软雅黑"/>
        </w:rPr>
        <w:t>结论：商云宝“营业额 ≠ 实收”主要是储值充值/消费造成的结构性差异，不是账错；日报必须用对账桥区分“可解释差异”与“待查差异”。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808080"/>
        <w:sz w:val="16"/>
      </w:rPr>
      <w:t xml:space="preserve">第 </w:t>
    </w:r>
    <w:r>
      <w:rPr>
        <w:rFonts w:ascii="Calibri" w:hAnsi="Calibri" w:eastAsia="微软雅黑"/>
        <w:color w:val="808080"/>
        <w:sz w:val="16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808080"/>
        <w:sz w:val="16"/>
      </w:rPr>
      <w:t>铜陵UU台球俱乐部 · 数字化工具业务交接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