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思源黑体 CN Light" w:hAnsi="思源黑体 CN Light" w:eastAsia="思源黑体 CN Light"/>
        </w:rPr>
      </w:pPr>
      <w:r>
        <w:rPr>
          <w:rFonts w:ascii="思源黑体 CN Light" w:hAnsi="思源黑体 CN Light" w:cs="宋体" w:eastAsia="思源黑体 CN Light"/>
          <w:sz w:val="36"/>
          <w:szCs w:val="36"/>
          <w:lang w:val="en-US" w:eastAsia="zh-CN"/>
        </w:rPr>
        <w:t>历史国庆作业一</w:t>
      </w:r>
    </w:p>
    <w:p>
      <w:pPr>
        <w:pStyle w:val="Normal"/>
        <w:spacing w:lineRule="auto" w:line="240"/>
        <w:rPr>
          <w:rFonts w:ascii="思源黑体 CN Light" w:hAnsi="思源黑体 CN Light" w:eastAsia="思源黑体 CN Light"/>
        </w:rPr>
      </w:pPr>
      <w:r>
        <w:rPr>
          <w:rFonts w:ascii="思源黑体 CN Light" w:hAnsi="思源黑体 CN Light" w:cs="宋体" w:eastAsia="思源黑体 CN Light"/>
          <w:b/>
          <w:sz w:val="22"/>
          <w:szCs w:val="22"/>
        </w:rPr>
        <w:t>一、单选题</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1</w:t>
      </w:r>
      <w:r>
        <w:rPr>
          <w:rFonts w:ascii="思源黑体 CN Light" w:hAnsi="思源黑体 CN Light" w:cs="宋体" w:eastAsia="思源黑体 CN Light"/>
          <w:sz w:val="22"/>
          <w:szCs w:val="22"/>
        </w:rPr>
        <w:t>．山东又称齐鲁，这个简称应该源于（   ）</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．商朝方国制</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．西周分封制</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．秦代郡县制</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．隋唐科举制</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2</w:t>
      </w:r>
      <w:r>
        <w:rPr>
          <w:rFonts w:ascii="思源黑体 CN Light" w:hAnsi="思源黑体 CN Light" w:cs="宋体" w:eastAsia="思源黑体 CN Light"/>
          <w:sz w:val="22"/>
          <w:szCs w:val="22"/>
        </w:rPr>
        <w:t>．春秋战国时期是大变革时代，从西周的“政自天子出”变为了“政自诸侯出”，而后又相继出现了“政自大夫出”、“政自臣宰出”的现象。这表明（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 xml:space="preserve">．周王室统治广布四方  </w:t>
      </w:r>
      <w:r>
        <w:rPr>
          <w:rFonts w:ascii="思源黑体 CN Light" w:hAnsi="思源黑体 CN Light" w:cs="宋体" w:eastAsia="思源黑体 CN Light"/>
          <w:sz w:val="22"/>
          <w:szCs w:val="22"/>
          <w:lang w:val="en-US" w:eastAsia="zh-CN"/>
        </w:rPr>
        <w:t xml:space="preserve">  </w:t>
      </w:r>
      <w:r>
        <w:rPr>
          <w:rFonts w:eastAsia="思源黑体 CN Light" w:cs="宋体" w:ascii="思源黑体 CN Light" w:hAnsi="思源黑体 CN Light"/>
          <w:sz w:val="22"/>
          <w:szCs w:val="22"/>
        </w:rPr>
        <w:t>B</w:t>
      </w:r>
      <w:r>
        <w:rPr>
          <w:rFonts w:ascii="思源黑体 CN Light" w:hAnsi="思源黑体 CN Light" w:cs="宋体" w:eastAsia="思源黑体 CN Light"/>
          <w:sz w:val="22"/>
          <w:szCs w:val="22"/>
        </w:rPr>
        <w:t xml:space="preserve">．争霸战争日益频繁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．分封宗法制遭到破坏</w:t>
      </w:r>
      <w:r>
        <w:rPr>
          <w:rFonts w:ascii="思源黑体 CN Light" w:hAnsi="思源黑体 CN Light" w:cs="宋体" w:eastAsia="思源黑体 CN Light"/>
          <w:sz w:val="22"/>
          <w:szCs w:val="22"/>
          <w:lang w:val="en-US" w:eastAsia="zh-CN"/>
        </w:rPr>
        <w:t xml:space="preserve">    </w:t>
      </w:r>
      <w:r>
        <w:rPr>
          <w:rFonts w:eastAsia="思源黑体 CN Light" w:cs="宋体" w:ascii="思源黑体 CN Light" w:hAnsi="思源黑体 CN Light"/>
          <w:sz w:val="22"/>
          <w:szCs w:val="22"/>
        </w:rPr>
        <w:t>D</w:t>
      </w:r>
      <w:r>
        <w:rPr>
          <w:rFonts w:ascii="思源黑体 CN Light" w:hAnsi="思源黑体 CN Light" w:cs="宋体" w:eastAsia="思源黑体 CN Light"/>
          <w:sz w:val="22"/>
          <w:szCs w:val="22"/>
        </w:rPr>
        <w:t>．民族交融不断加强</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3</w:t>
      </w:r>
      <w:r>
        <w:rPr>
          <w:rFonts w:ascii="思源黑体 CN Light" w:hAnsi="思源黑体 CN Light" w:cs="宋体" w:eastAsia="思源黑体 CN Light"/>
          <w:sz w:val="22"/>
          <w:szCs w:val="22"/>
        </w:rPr>
        <w:t>．《左传》载：“其怀柔天下也，犹惧有外侮，捍御侮者，莫如亲亲，故以亲屏周。”材料涉及的制度是（   ）</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．禅让制</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．分封制</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．世袭制</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．宗法制</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4</w:t>
      </w:r>
      <w:r>
        <w:rPr>
          <w:rFonts w:ascii="思源黑体 CN Light" w:hAnsi="思源黑体 CN Light" w:cs="宋体" w:eastAsia="思源黑体 CN Light"/>
          <w:sz w:val="22"/>
          <w:szCs w:val="22"/>
        </w:rPr>
        <w:t>．有学者说：“</w:t>
      </w:r>
      <w:r>
        <w:rPr>
          <w:rFonts w:eastAsia="思源黑体 CN Light" w:cs="宋体" w:ascii="思源黑体 CN Light" w:hAnsi="思源黑体 CN Light"/>
          <w:sz w:val="22"/>
          <w:szCs w:val="22"/>
        </w:rPr>
        <w:t>______</w:t>
      </w:r>
      <w:r>
        <w:rPr>
          <w:rFonts w:ascii="思源黑体 CN Light" w:hAnsi="思源黑体 CN Light" w:cs="宋体" w:eastAsia="思源黑体 CN Light"/>
          <w:sz w:val="22"/>
          <w:szCs w:val="22"/>
        </w:rPr>
        <w:t>发掘，重新构建了中国古代早期历史的框架，发现了目前中国文字体系最早的证据”。横线处应为（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．良渚遗址</w:t>
      </w:r>
      <w:r>
        <w:rPr>
          <w:rFonts w:ascii="思源黑体 CN Light" w:hAnsi="思源黑体 CN Light" w:cs="宋体" w:eastAsia="思源黑体 CN Light"/>
          <w:sz w:val="22"/>
          <w:szCs w:val="22"/>
          <w:lang w:val="en-US" w:eastAsia="zh-CN"/>
        </w:rPr>
        <w:t xml:space="preserve">      </w:t>
      </w:r>
      <w:r>
        <w:rPr>
          <w:rFonts w:eastAsia="思源黑体 CN Light" w:cs="宋体" w:ascii="思源黑体 CN Light" w:hAnsi="思源黑体 CN Light"/>
          <w:sz w:val="22"/>
          <w:szCs w:val="22"/>
        </w:rPr>
        <w:t>B</w:t>
      </w:r>
      <w:r>
        <w:rPr>
          <w:rFonts w:ascii="思源黑体 CN Light" w:hAnsi="思源黑体 CN Light" w:cs="宋体" w:eastAsia="思源黑体 CN Light"/>
          <w:sz w:val="22"/>
          <w:szCs w:val="22"/>
        </w:rPr>
        <w:t>．二里头遗址</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．殷墟遗址</w:t>
      </w:r>
      <w:r>
        <w:rPr>
          <w:rFonts w:ascii="思源黑体 CN Light" w:hAnsi="思源黑体 CN Light" w:cs="宋体" w:eastAsia="思源黑体 CN Light"/>
          <w:sz w:val="22"/>
          <w:szCs w:val="22"/>
          <w:lang w:val="en-US" w:eastAsia="zh-CN"/>
        </w:rPr>
        <w:t xml:space="preserve">      </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．镐京遗址</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5</w:t>
      </w:r>
      <w:r>
        <w:rPr>
          <w:rFonts w:ascii="思源黑体 CN Light" w:hAnsi="思源黑体 CN Light" w:cs="宋体" w:eastAsia="思源黑体 CN Light"/>
          <w:sz w:val="22"/>
          <w:szCs w:val="22"/>
        </w:rPr>
        <w:t>．中国是远古人类的重要起源地，已发现的旧石器时代人类化石点遗址有数百处，而新石器时代的文化遗存有</w:t>
      </w:r>
      <w:r>
        <w:rPr>
          <w:rFonts w:eastAsia="思源黑体 CN Light" w:cs="宋体" w:ascii="思源黑体 CN Light" w:hAnsi="思源黑体 CN Light"/>
          <w:sz w:val="22"/>
          <w:szCs w:val="22"/>
        </w:rPr>
        <w:t>1</w:t>
      </w:r>
      <w:r>
        <w:rPr>
          <w:rFonts w:ascii="思源黑体 CN Light" w:hAnsi="思源黑体 CN Light" w:cs="宋体" w:eastAsia="思源黑体 CN Light"/>
          <w:sz w:val="22"/>
          <w:szCs w:val="22"/>
        </w:rPr>
        <w:t>万多处，且分布广泛，构成了中华文明的基础。这些文化遗存（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．奠定多元一体的发展基础</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．标志中国迈入奴隶社会</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．体现人类社会的最早文明</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．创造了灿烂的青铜文明</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6</w:t>
      </w:r>
      <w:r>
        <w:rPr>
          <w:rFonts w:ascii="思源黑体 CN Light" w:hAnsi="思源黑体 CN Light" w:cs="宋体" w:eastAsia="思源黑体 CN Light"/>
          <w:sz w:val="22"/>
          <w:szCs w:val="22"/>
        </w:rPr>
        <w:t>．若围绕“百家争鸣”“战国七雄”“商鞅变法”设计一个研究主题，下列最恰当的主题是（   ）</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．社会变革</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．思想解放</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．民族交融</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．走向统一</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7</w:t>
      </w:r>
      <w:r>
        <w:rPr>
          <w:rFonts w:ascii="思源黑体 CN Light" w:hAnsi="思源黑体 CN Light" w:cs="宋体" w:eastAsia="思源黑体 CN Light"/>
          <w:sz w:val="22"/>
          <w:szCs w:val="22"/>
        </w:rPr>
        <w:t>．易中天在《帝国的终结》中说：“秦，虽死犹存，它亡的悲壮。”从政治上看，“秦，虽死犹存”主要是指（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．统一度量衡</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．开创皇帝制度</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．在中央建立三公九卿制度</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．建立统一国家和中央集权制</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8</w:t>
      </w:r>
      <w:r>
        <w:rPr>
          <w:rFonts w:ascii="思源黑体 CN Light" w:hAnsi="思源黑体 CN Light" w:cs="宋体" w:eastAsia="思源黑体 CN Light"/>
          <w:sz w:val="22"/>
          <w:szCs w:val="22"/>
        </w:rPr>
        <w:t>．秦非常重视道路交通建设，建立了以咸阳为中心的驰道系统，西南开秦蜀栈道、云贵五尺道，向北修直道至九原郡，南开灵渠连通珠江、长江水系。秦的这些做法（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．开始了中国的路网建设</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．利于巩固大一统中央集权</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．旨在满足军事战略需要</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．实现了对郡县的直接管理</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9</w:t>
      </w:r>
      <w:r>
        <w:rPr>
          <w:rFonts w:ascii="思源黑体 CN Light" w:hAnsi="思源黑体 CN Light" w:cs="宋体" w:eastAsia="思源黑体 CN Light"/>
          <w:sz w:val="22"/>
          <w:szCs w:val="22"/>
        </w:rPr>
        <w:t>．《文献通考・封建考》云</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秦、汉以来</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所谓列侯者</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非但食其邑入而已</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可以臣吏民</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可以布政令</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若关内侯</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则惟以虚名受廪禄而已。西汉景、武之后</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令诸候王不得治民</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汉置内史治之。况列侯乎</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由此可知</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西汉（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 xml:space="preserve">．中央集权不断加强        </w:t>
      </w:r>
      <w:r>
        <w:rPr>
          <w:rFonts w:eastAsia="思源黑体 CN Light" w:cs="宋体" w:ascii="思源黑体 CN Light" w:hAnsi="思源黑体 CN Light"/>
          <w:sz w:val="22"/>
          <w:szCs w:val="22"/>
        </w:rPr>
        <w:t>B</w:t>
      </w:r>
      <w:r>
        <w:rPr>
          <w:rFonts w:ascii="思源黑体 CN Light" w:hAnsi="思源黑体 CN Light" w:cs="宋体" w:eastAsia="思源黑体 CN Light"/>
          <w:sz w:val="22"/>
          <w:szCs w:val="22"/>
        </w:rPr>
        <w:t xml:space="preserve">．分散中枢机构权力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．君主专制制度完善</w:t>
      </w:r>
      <w:r>
        <w:rPr>
          <w:rFonts w:ascii="思源黑体 CN Light" w:hAnsi="思源黑体 CN Light" w:cs="宋体" w:eastAsia="思源黑体 CN Light"/>
          <w:sz w:val="22"/>
          <w:szCs w:val="22"/>
          <w:lang w:val="en-US" w:eastAsia="zh-CN"/>
        </w:rPr>
        <w:t xml:space="preserve">        </w:t>
      </w:r>
      <w:r>
        <w:rPr>
          <w:rFonts w:eastAsia="思源黑体 CN Light" w:cs="宋体" w:ascii="思源黑体 CN Light" w:hAnsi="思源黑体 CN Light"/>
          <w:sz w:val="22"/>
          <w:szCs w:val="22"/>
        </w:rPr>
        <w:t>D</w:t>
      </w:r>
      <w:r>
        <w:rPr>
          <w:rFonts w:ascii="思源黑体 CN Light" w:hAnsi="思源黑体 CN Light" w:cs="宋体" w:eastAsia="思源黑体 CN Light"/>
          <w:sz w:val="22"/>
          <w:szCs w:val="22"/>
        </w:rPr>
        <w:t>．废除了郡国并行制</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10</w:t>
      </w:r>
      <w:r>
        <w:rPr>
          <w:rFonts w:ascii="思源黑体 CN Light" w:hAnsi="思源黑体 CN Light" w:cs="宋体" w:eastAsia="思源黑体 CN Light"/>
          <w:sz w:val="22"/>
          <w:szCs w:val="22"/>
        </w:rPr>
        <w:t>．监察制度在我国有悠久的历史。下列古代官职及行政机构中，具有监察职能的是（   ）</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．御史大夫</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．太尉</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．内阁</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．军机处</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11</w:t>
      </w:r>
      <w:r>
        <w:rPr>
          <w:rFonts w:ascii="思源黑体 CN Light" w:hAnsi="思源黑体 CN Light" w:cs="宋体" w:eastAsia="思源黑体 CN Light"/>
          <w:sz w:val="22"/>
          <w:szCs w:val="22"/>
        </w:rPr>
        <w:t>．谈到西汉的政权建设，史家常以“汉承秦制”作论。下列选项中能体现该论断的是（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．皇帝制与郡县制</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．郡县制与刺史制</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．皇帝制与封国制</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．丞相制与刺史制</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12</w:t>
      </w:r>
      <w:r>
        <w:rPr>
          <w:rFonts w:ascii="思源黑体 CN Light" w:hAnsi="思源黑体 CN Light" w:cs="宋体" w:eastAsia="思源黑体 CN Light"/>
          <w:sz w:val="22"/>
          <w:szCs w:val="22"/>
        </w:rPr>
        <w:t>．春秋时期，某一学派重视西周的礼乐传统，推崇周公，重视血亲人伦，追求现世事功。该学派是</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　　</w:t>
      </w:r>
      <w:r>
        <w:rPr>
          <w:rFonts w:eastAsia="思源黑体 CN Light" w:cs="宋体" w:ascii="思源黑体 CN Light" w:hAnsi="思源黑体 CN Light"/>
          <w:sz w:val="22"/>
          <w:szCs w:val="22"/>
        </w:rPr>
        <w:t>)</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．儒家　　</w:t>
      </w:r>
      <w:r>
        <w:rPr>
          <w:rFonts w:ascii="思源黑体 CN Light" w:hAnsi="思源黑体 CN Light" w:cs="宋体" w:eastAsia="思源黑体 CN Light"/>
          <w:sz w:val="22"/>
          <w:szCs w:val="22"/>
          <w:lang w:val="en-US" w:eastAsia="zh-CN"/>
        </w:rPr>
        <w:t xml:space="preserve"> </w:t>
      </w:r>
      <w:r>
        <w:rPr>
          <w:rFonts w:eastAsia="思源黑体 CN Light" w:cs="宋体" w:ascii="思源黑体 CN Light" w:hAnsi="思源黑体 CN Light"/>
          <w:sz w:val="22"/>
          <w:szCs w:val="22"/>
        </w:rPr>
        <w:t>B</w:t>
      </w:r>
      <w:r>
        <w:rPr>
          <w:rFonts w:ascii="思源黑体 CN Light" w:hAnsi="思源黑体 CN Light" w:cs="宋体" w:eastAsia="思源黑体 CN Light"/>
          <w:sz w:val="22"/>
          <w:szCs w:val="22"/>
        </w:rPr>
        <w:t>．墨家</w:t>
      </w:r>
      <w:r>
        <w:rPr>
          <w:rFonts w:ascii="思源黑体 CN Light" w:hAnsi="思源黑体 CN Light" w:cs="宋体" w:eastAsia="思源黑体 CN Light"/>
          <w:sz w:val="22"/>
          <w:szCs w:val="22"/>
          <w:lang w:val="en-US" w:eastAsia="zh-CN"/>
        </w:rPr>
        <w:t xml:space="preserve">       </w:t>
      </w: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．道家　　</w:t>
      </w:r>
      <w:r>
        <w:rPr>
          <w:rFonts w:eastAsia="思源黑体 CN Light" w:cs="宋体" w:ascii="思源黑体 CN Light" w:hAnsi="思源黑体 CN Light"/>
          <w:sz w:val="22"/>
          <w:szCs w:val="22"/>
        </w:rPr>
        <w:t>D</w:t>
      </w:r>
      <w:r>
        <w:rPr>
          <w:rFonts w:ascii="思源黑体 CN Light" w:hAnsi="思源黑体 CN Light" w:cs="宋体" w:eastAsia="思源黑体 CN Light"/>
          <w:sz w:val="22"/>
          <w:szCs w:val="22"/>
        </w:rPr>
        <w:t>．法家</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13</w:t>
      </w:r>
      <w:r>
        <w:rPr>
          <w:rFonts w:ascii="思源黑体 CN Light" w:hAnsi="思源黑体 CN Light" w:cs="宋体" w:eastAsia="思源黑体 CN Light"/>
          <w:sz w:val="22"/>
          <w:szCs w:val="22"/>
        </w:rPr>
        <w:t>．史载文王“以受命始造周国，故天下君之。其子孙适（嫡）为天子，庶为诸侯，皆百世”。如缺嫡其补充制度是“无适（嫡）则择立长，年钧（均）以德……王不立爱，公卿无私”。文中西周得以“百世”传承所实施的制度是</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　　</w:t>
      </w:r>
      <w:r>
        <w:rPr>
          <w:rFonts w:eastAsia="思源黑体 CN Light" w:cs="宋体" w:ascii="思源黑体 CN Light" w:hAnsi="思源黑体 CN Light"/>
          <w:sz w:val="22"/>
          <w:szCs w:val="22"/>
        </w:rPr>
        <w:t>)</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．分封制</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．宗法制</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．礼乐制</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．嫡长子继承制</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14</w:t>
      </w:r>
      <w:r>
        <w:rPr>
          <w:rFonts w:ascii="思源黑体 CN Light" w:hAnsi="思源黑体 CN Light" w:cs="宋体" w:eastAsia="思源黑体 CN Light"/>
          <w:sz w:val="22"/>
          <w:szCs w:val="22"/>
        </w:rPr>
        <w:t>．西周宗法制度是为了解决贵族之间在权力、财产和土地继承上的矛盾，用父系血缘关系的亲琉来维系政治等级、巩固国家统治的制度。据此可知，宗法制（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．通过垄断神权强化王权</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．有利于稳定政治秩序</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．成为各级贵族生活准则</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．形成完备的政治体系</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15</w:t>
      </w:r>
      <w:r>
        <w:rPr>
          <w:rFonts w:ascii="思源黑体 CN Light" w:hAnsi="思源黑体 CN Light" w:cs="宋体" w:eastAsia="思源黑体 CN Light"/>
          <w:sz w:val="22"/>
          <w:szCs w:val="22"/>
        </w:rPr>
        <w:t>．</w:t>
      </w:r>
      <w:r>
        <w:rPr>
          <w:rFonts w:eastAsia="思源黑体 CN Light" w:cs="宋体" w:ascii="思源黑体 CN Light" w:hAnsi="思源黑体 CN Light"/>
          <w:sz w:val="22"/>
          <w:szCs w:val="22"/>
        </w:rPr>
        <w:t>2019</w:t>
      </w:r>
      <w:r>
        <w:rPr>
          <w:rFonts w:ascii="思源黑体 CN Light" w:hAnsi="思源黑体 CN Light" w:cs="宋体" w:eastAsia="思源黑体 CN Light"/>
          <w:sz w:val="22"/>
          <w:szCs w:val="22"/>
        </w:rPr>
        <w:t>年</w:t>
      </w:r>
      <w:r>
        <w:rPr>
          <w:rFonts w:eastAsia="思源黑体 CN Light" w:cs="宋体" w:ascii="思源黑体 CN Light" w:hAnsi="思源黑体 CN Light"/>
          <w:sz w:val="22"/>
          <w:szCs w:val="22"/>
        </w:rPr>
        <w:t>7</w:t>
      </w:r>
      <w:r>
        <w:rPr>
          <w:rFonts w:ascii="思源黑体 CN Light" w:hAnsi="思源黑体 CN Light" w:cs="宋体" w:eastAsia="思源黑体 CN Light"/>
          <w:sz w:val="22"/>
          <w:szCs w:val="22"/>
        </w:rPr>
        <w:t>月</w:t>
      </w:r>
      <w:r>
        <w:rPr>
          <w:rFonts w:eastAsia="思源黑体 CN Light" w:cs="宋体" w:ascii="思源黑体 CN Light" w:hAnsi="思源黑体 CN Light"/>
          <w:sz w:val="22"/>
          <w:szCs w:val="22"/>
        </w:rPr>
        <w:t>6</w:t>
      </w:r>
      <w:r>
        <w:rPr>
          <w:rFonts w:ascii="思源黑体 CN Light" w:hAnsi="思源黑体 CN Light" w:cs="宋体" w:eastAsia="思源黑体 CN Light"/>
          <w:sz w:val="22"/>
          <w:szCs w:val="22"/>
        </w:rPr>
        <w:t>日，在联合国教科文组织世界遗产委员会第</w:t>
      </w:r>
      <w:r>
        <w:rPr>
          <w:rFonts w:eastAsia="思源黑体 CN Light" w:cs="宋体" w:ascii="思源黑体 CN Light" w:hAnsi="思源黑体 CN Light"/>
          <w:sz w:val="22"/>
          <w:szCs w:val="22"/>
        </w:rPr>
        <w:t>43</w:t>
      </w:r>
      <w:r>
        <w:rPr>
          <w:rFonts w:ascii="思源黑体 CN Light" w:hAnsi="思源黑体 CN Light" w:cs="宋体" w:eastAsia="思源黑体 CN Light"/>
          <w:sz w:val="22"/>
          <w:szCs w:val="22"/>
        </w:rPr>
        <w:t>届会议上，中国良渚古城遗址成功申报世界文化遗产。与良渚文化同时存在的中国北方原始文化类型是（   ）</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．河姆渡文化</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．红山文化</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．大汶口文化</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．仰韶文化</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16</w:t>
      </w:r>
      <w:r>
        <w:rPr>
          <w:rFonts w:ascii="思源黑体 CN Light" w:hAnsi="思源黑体 CN Light" w:cs="宋体" w:eastAsia="思源黑体 CN Light"/>
          <w:sz w:val="22"/>
          <w:szCs w:val="22"/>
        </w:rPr>
        <w:t>．从春秋到战国，我国民族关系出现重要变化，主要表现在周边各族（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．大量迁居黄河流域</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．生产方式迅速封建化</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．华夏认同不断发展</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．采用汉族的典章制度</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17</w:t>
      </w:r>
      <w:r>
        <w:rPr>
          <w:rFonts w:ascii="思源黑体 CN Light" w:hAnsi="思源黑体 CN Light" w:cs="宋体" w:eastAsia="思源黑体 CN Light"/>
          <w:sz w:val="22"/>
          <w:szCs w:val="22"/>
        </w:rPr>
        <w:t>．中国历代王朝大都实行“重本抑末”的经济政策，这里的“本”是指（   ）</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．农业</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．手工业</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．商业</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．畜牧业</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18</w:t>
      </w:r>
      <w:r>
        <w:rPr>
          <w:rFonts w:ascii="思源黑体 CN Light" w:hAnsi="思源黑体 CN Light" w:cs="宋体" w:eastAsia="思源黑体 CN Light"/>
          <w:sz w:val="22"/>
          <w:szCs w:val="22"/>
        </w:rPr>
        <w:t>．某大臣向汉武帝建议说：“愿陛下令诸侯得推恩分子弟，以地侯之。彼人人喜得所愿，上以德施，实分其国，不削而稍弱矣。”汉武帝采纳他的建议后</w:t>
      </w:r>
      <w:r>
        <w:rPr>
          <w:rFonts w:eastAsia="思源黑体 CN Light" w:cs="宋体" w:ascii="思源黑体 CN Light" w:hAnsi="思源黑体 CN Light"/>
          <w:sz w:val="22"/>
          <w:szCs w:val="22"/>
        </w:rPr>
        <w:t>(       )</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颁布“推恩令”</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实行郡国并行制</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兴办太学</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废除分封制</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19</w:t>
      </w:r>
      <w:r>
        <w:rPr>
          <w:rFonts w:ascii="思源黑体 CN Light" w:hAnsi="思源黑体 CN Light" w:cs="宋体" w:eastAsia="思源黑体 CN Light"/>
          <w:sz w:val="22"/>
          <w:szCs w:val="22"/>
        </w:rPr>
        <w:t>．《三字经》里说：“周武王，始诛纣，八百载，最长久。”维系西周长久统治的重要制度是（   ）</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．分封制</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．皇帝制</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．郡县制</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．行省制</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20</w:t>
      </w:r>
      <w:r>
        <w:rPr>
          <w:rFonts w:ascii="思源黑体 CN Light" w:hAnsi="思源黑体 CN Light" w:cs="宋体" w:eastAsia="思源黑体 CN Light"/>
          <w:sz w:val="22"/>
          <w:szCs w:val="22"/>
        </w:rPr>
        <w:t>．汉代初年推行“无为而治”的政策，主张“顺民之情，与之休息”。其思想来源于（   ）</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．儒家</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．墨家</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．道家</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．法家</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21</w:t>
      </w:r>
      <w:r>
        <w:rPr>
          <w:rFonts w:ascii="思源黑体 CN Light" w:hAnsi="思源黑体 CN Light" w:cs="宋体" w:eastAsia="思源黑体 CN Light"/>
          <w:sz w:val="22"/>
          <w:szCs w:val="22"/>
        </w:rPr>
        <w:t>．孔子思想中有利于教育进步的思想主要体现在（   ）</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．“克己复礼”</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．“仁者爱人”</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．“以德治民”</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．“有教无类”</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22</w:t>
      </w:r>
      <w:r>
        <w:rPr>
          <w:rFonts w:ascii="思源黑体 CN Light" w:hAnsi="思源黑体 CN Light" w:cs="宋体" w:eastAsia="思源黑体 CN Light"/>
          <w:sz w:val="22"/>
          <w:szCs w:val="22"/>
        </w:rPr>
        <w:t>．下列商鞅变法的措施中，属于在思想文化方面的措施是（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．为田开阡陌封疆土、平赋税</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．平权衡、正度量、调轻重</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．并诸小乡聚，集为大县</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．燔诗书而明法令</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23</w:t>
      </w:r>
      <w:r>
        <w:rPr>
          <w:rFonts w:ascii="思源黑体 CN Light" w:hAnsi="思源黑体 CN Light" w:cs="宋体" w:eastAsia="思源黑体 CN Light"/>
          <w:sz w:val="22"/>
          <w:szCs w:val="22"/>
        </w:rPr>
        <w:t>．下列思想主张属于战国时期儒家学派的是（   ）</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．民贵君轻</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．兼爱非攻</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．无为而治</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．法不阿贵</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24</w:t>
      </w:r>
      <w:r>
        <w:rPr>
          <w:rFonts w:ascii="思源黑体 CN Light" w:hAnsi="思源黑体 CN Light" w:cs="宋体" w:eastAsia="思源黑体 CN Light"/>
          <w:sz w:val="22"/>
          <w:szCs w:val="22"/>
        </w:rPr>
        <w:t>．秦朝统一中国后便征用大量的劳动力建造了规模宏大的秦始皇陵以及阿房宫。秦朝能够完成这一工程是基于（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．社会经济的繁荣</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．秦始皇的正确决策</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．工匠水平的高超</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．中央集权制的建立</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25</w:t>
      </w:r>
      <w:r>
        <w:rPr>
          <w:rFonts w:ascii="思源黑体 CN Light" w:hAnsi="思源黑体 CN Light" w:cs="宋体" w:eastAsia="思源黑体 CN Light"/>
          <w:sz w:val="22"/>
          <w:szCs w:val="22"/>
        </w:rPr>
        <w:t>．上个世纪</w:t>
      </w:r>
      <w:r>
        <w:rPr>
          <w:rFonts w:eastAsia="思源黑体 CN Light" w:cs="宋体" w:ascii="思源黑体 CN Light" w:hAnsi="思源黑体 CN Light"/>
          <w:sz w:val="22"/>
          <w:szCs w:val="22"/>
        </w:rPr>
        <w:t>90</w:t>
      </w:r>
      <w:r>
        <w:rPr>
          <w:rFonts w:ascii="思源黑体 CN Light" w:hAnsi="思源黑体 CN Light" w:cs="宋体" w:eastAsia="思源黑体 CN Light"/>
          <w:sz w:val="22"/>
          <w:szCs w:val="22"/>
        </w:rPr>
        <w:t>年代初，陕西章台出土了一些秦代封泥（密封信件文书时加盖印章的泥块），上面有上郡、代郡等郡名和蓝田等县名。这可以印证秦朝（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．用泥制陶的史实</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．实行郡县制的史实</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．出现造纸术的史实</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．政治上分裂的史实</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26</w:t>
      </w:r>
      <w:r>
        <w:rPr>
          <w:rFonts w:ascii="思源黑体 CN Light" w:hAnsi="思源黑体 CN Light" w:cs="宋体" w:eastAsia="思源黑体 CN Light"/>
          <w:sz w:val="22"/>
          <w:szCs w:val="22"/>
        </w:rPr>
        <w:t>．下列关于青铜文明表述正确的有（   ）①大约从夏朝开始，中国进入青铜时代②青铜时代，国家建立，汉字发展成熟③商朝时期的青铜铸造工艺水平相当高④西周出现社会分工，进入大变革时期</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．①②③</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．①③④</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．②③④</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．①②④</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27</w:t>
      </w:r>
      <w:r>
        <w:rPr>
          <w:rFonts w:ascii="思源黑体 CN Light" w:hAnsi="思源黑体 CN Light" w:cs="宋体" w:eastAsia="思源黑体 CN Light"/>
          <w:sz w:val="22"/>
          <w:szCs w:val="22"/>
        </w:rPr>
        <w:t>．《礼记</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王制》记载“田里不鬻（</w:t>
      </w:r>
      <w:r>
        <w:rPr>
          <w:rFonts w:eastAsia="思源黑体 CN Light" w:cs="宋体" w:ascii="思源黑体 CN Light" w:hAnsi="思源黑体 CN Light"/>
          <w:sz w:val="22"/>
          <w:szCs w:val="22"/>
        </w:rPr>
        <w:t>yù</w:t>
      </w:r>
      <w:r>
        <w:rPr>
          <w:rFonts w:ascii="思源黑体 CN Light" w:hAnsi="思源黑体 CN Light" w:cs="宋体" w:eastAsia="思源黑体 CN Light"/>
          <w:sz w:val="22"/>
          <w:szCs w:val="22"/>
        </w:rPr>
        <w:t>，卖）”。这种土地制度存在于（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．夏商时期到春秋时期</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．夏商时期到秦朝时期</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．春秋时期到战国时期</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．战国时期到秦汉时期</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28</w:t>
      </w:r>
      <w:r>
        <w:rPr>
          <w:rFonts w:ascii="思源黑体 CN Light" w:hAnsi="思源黑体 CN Light" w:cs="宋体" w:eastAsia="思源黑体 CN Light"/>
          <w:sz w:val="22"/>
          <w:szCs w:val="22"/>
        </w:rPr>
        <w:t>．人类社会的发展是一个从低级阶段向高级阶段进步的过程。在原始社会，母系氏族社会向父系氏族社会过渡的根本原因是（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．女子在家庭中的地位衰落</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．男性的力量超过女性</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．氏族社会的战争频繁</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．社会生产力水平不断提高</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29</w:t>
      </w:r>
      <w:r>
        <w:rPr>
          <w:rFonts w:ascii="思源黑体 CN Light" w:hAnsi="思源黑体 CN Light" w:cs="宋体" w:eastAsia="思源黑体 CN Light"/>
          <w:sz w:val="22"/>
          <w:szCs w:val="22"/>
        </w:rPr>
        <w:t>．据《礼记</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礼运）记载：“大道之行也，天下为公，选贤</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能……是谓大同。今大道既隐，天下为家……是谓小康”。材料中“小康”社会的政治制度是（   ）</w:t>
      </w:r>
    </w:p>
    <w:p>
      <w:pPr>
        <w:pStyle w:val="Normal"/>
        <w:tabs>
          <w:tab w:val="clear" w:pos="420"/>
          <w:tab w:val="left" w:pos="2076" w:leader="none"/>
          <w:tab w:val="left" w:pos="4153" w:leader="none"/>
          <w:tab w:val="left" w:pos="6229"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．禅让制</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．世袭制</w:t>
      </w:r>
      <w:r>
        <w:rPr>
          <w:rFonts w:eastAsia="思源黑体 CN Light" w:cs="宋体" w:ascii="思源黑体 CN Light" w:hAnsi="思源黑体 CN Light"/>
          <w:sz w:val="22"/>
          <w:szCs w:val="22"/>
        </w:rPr>
        <w:tab/>
        <w:t>C</w:t>
      </w:r>
      <w:r>
        <w:rPr>
          <w:rFonts w:ascii="思源黑体 CN Light" w:hAnsi="思源黑体 CN Light" w:cs="宋体" w:eastAsia="思源黑体 CN Light"/>
          <w:sz w:val="22"/>
          <w:szCs w:val="22"/>
        </w:rPr>
        <w:t>．郡县制</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．行省制</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30</w:t>
      </w:r>
      <w:r>
        <w:rPr>
          <w:rFonts w:ascii="思源黑体 CN Light" w:hAnsi="思源黑体 CN Light" w:cs="宋体" w:eastAsia="思源黑体 CN Light"/>
          <w:sz w:val="22"/>
          <w:szCs w:val="22"/>
        </w:rPr>
        <w:t>．《吕氏春秋》记载：“微子启虽长，系庶出，不得立；纣王虽幼，以嫡立。”材料反映了（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．宗法制的基本法则</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．财产继承的原则</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．任人唯才的要求</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．兄终弟及的传统</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lang w:val="en-US" w:eastAsia="zh-CN"/>
        </w:rPr>
        <w:t>31.</w:t>
      </w:r>
      <w:r>
        <w:rPr>
          <w:rFonts w:ascii="思源黑体 CN Light" w:hAnsi="思源黑体 CN Light" w:cs="宋体" w:eastAsia="思源黑体 CN Light"/>
          <w:sz w:val="22"/>
          <w:szCs w:val="22"/>
          <w:lang w:val="en-US" w:eastAsia="zh-CN"/>
        </w:rPr>
        <w:t>西周的文献多为政典或史书。到春秋战国时儒墨渐成显学，阴阳、道、法、名、农蜂起，学者“各著书言治乱之事，以干世主”，不可胜道。出现该变化的根本原因是（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lang w:val="en-US" w:eastAsia="zh-CN"/>
        </w:rPr>
        <w:t>A</w:t>
      </w:r>
      <w:r>
        <w:rPr>
          <w:rFonts w:ascii="思源黑体 CN Light" w:hAnsi="思源黑体 CN Light" w:cs="宋体" w:eastAsia="思源黑体 CN Light"/>
          <w:sz w:val="22"/>
          <w:szCs w:val="22"/>
          <w:lang w:val="en-US" w:eastAsia="zh-CN"/>
        </w:rPr>
        <w:t>．礼乐制度崩坏</w:t>
      </w:r>
      <w:r>
        <w:rPr>
          <w:rFonts w:eastAsia="思源黑体 CN Light" w:cs="宋体" w:ascii="思源黑体 CN Light" w:hAnsi="思源黑体 CN Light"/>
          <w:sz w:val="22"/>
          <w:szCs w:val="22"/>
          <w:lang w:val="en-US" w:eastAsia="zh-CN"/>
        </w:rPr>
        <w:tab/>
        <w:t>B</w:t>
      </w:r>
      <w:r>
        <w:rPr>
          <w:rFonts w:ascii="思源黑体 CN Light" w:hAnsi="思源黑体 CN Light" w:cs="宋体" w:eastAsia="思源黑体 CN Light"/>
          <w:sz w:val="22"/>
          <w:szCs w:val="22"/>
          <w:lang w:val="en-US" w:eastAsia="zh-CN"/>
        </w:rPr>
        <w:t>．士阶层的崛起</w:t>
      </w:r>
      <w:r>
        <w:rPr>
          <w:rFonts w:eastAsia="思源黑体 CN Light" w:cs="宋体" w:ascii="思源黑体 CN Light" w:hAnsi="思源黑体 CN Light"/>
          <w:sz w:val="22"/>
          <w:szCs w:val="22"/>
          <w:lang w:val="en-US" w:eastAsia="zh-CN"/>
        </w:rPr>
        <w:tab/>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lang w:val="en-US" w:eastAsia="zh-CN"/>
        </w:rPr>
        <w:t>C</w:t>
      </w:r>
      <w:r>
        <w:rPr>
          <w:rFonts w:ascii="思源黑体 CN Light" w:hAnsi="思源黑体 CN Light" w:cs="宋体" w:eastAsia="思源黑体 CN Light"/>
          <w:sz w:val="22"/>
          <w:szCs w:val="22"/>
          <w:lang w:val="en-US" w:eastAsia="zh-CN"/>
        </w:rPr>
        <w:t>．学术文化下移</w:t>
      </w:r>
      <w:r>
        <w:rPr>
          <w:rFonts w:eastAsia="思源黑体 CN Light" w:cs="宋体" w:ascii="思源黑体 CN Light" w:hAnsi="思源黑体 CN Light"/>
          <w:sz w:val="22"/>
          <w:szCs w:val="22"/>
          <w:lang w:val="en-US" w:eastAsia="zh-CN"/>
        </w:rPr>
        <w:tab/>
        <w:t>D</w:t>
      </w:r>
      <w:r>
        <w:rPr>
          <w:rFonts w:ascii="思源黑体 CN Light" w:hAnsi="思源黑体 CN Light" w:cs="宋体" w:eastAsia="思源黑体 CN Light"/>
          <w:sz w:val="22"/>
          <w:szCs w:val="22"/>
          <w:lang w:val="en-US" w:eastAsia="zh-CN"/>
        </w:rPr>
        <w:t>．生产力大发展</w:t>
      </w:r>
    </w:p>
    <w:p>
      <w:pPr>
        <w:pStyle w:val="Normal"/>
        <w:tabs>
          <w:tab w:val="clear" w:pos="420"/>
          <w:tab w:val="left" w:pos="4153" w:leader="none"/>
        </w:tabs>
        <w:spacing w:lineRule="auto" w:line="240"/>
        <w:jc w:val="left"/>
        <w:textAlignment w:val="center"/>
        <w:rPr>
          <w:rFonts w:ascii="思源黑体 CN Light" w:hAnsi="思源黑体 CN Light" w:eastAsia="思源黑体 CN Light" w:cs="宋体"/>
          <w:sz w:val="22"/>
          <w:szCs w:val="22"/>
          <w:lang w:val="en-US" w:eastAsia="zh-CN"/>
        </w:rPr>
      </w:pPr>
      <w:r>
        <w:rPr>
          <w:rFonts w:eastAsia="思源黑体 CN Light" w:cs="宋体" w:ascii="思源黑体 CN Light" w:hAnsi="思源黑体 CN Light"/>
          <w:sz w:val="22"/>
          <w:szCs w:val="22"/>
          <w:lang w:val="en-US" w:eastAsia="zh-CN"/>
        </w:rPr>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lang w:val="en-US" w:eastAsia="zh-CN"/>
        </w:rPr>
        <w:t>32.</w:t>
      </w:r>
      <w:r>
        <w:rPr>
          <w:rFonts w:ascii="思源黑体 CN Light" w:hAnsi="思源黑体 CN Light" w:cs="宋体" w:eastAsia="思源黑体 CN Light"/>
          <w:sz w:val="22"/>
          <w:szCs w:val="22"/>
        </w:rPr>
        <w:t>公元前</w:t>
      </w:r>
      <w:r>
        <w:rPr>
          <w:rFonts w:eastAsia="思源黑体 CN Light" w:cs="宋体" w:ascii="思源黑体 CN Light" w:hAnsi="思源黑体 CN Light"/>
          <w:sz w:val="22"/>
          <w:szCs w:val="22"/>
        </w:rPr>
        <w:t>536</w:t>
      </w:r>
      <w:r>
        <w:rPr>
          <w:rFonts w:ascii="思源黑体 CN Light" w:hAnsi="思源黑体 CN Light" w:cs="宋体" w:eastAsia="思源黑体 CN Light"/>
          <w:sz w:val="22"/>
          <w:szCs w:val="22"/>
        </w:rPr>
        <w:t>年，郑国执政子产将郑国的法律条文铸在象征诸侯权位的鼎上，向全社会公布。晋国的叔向认为这一做法会使民众有法可循，进而“弃礼徵书”（丢弃礼仪而征用刑书），因此给予了批评。这事件表明（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．郑晋两国争霸冲突激烈</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．诸侯的权位得到了极大加强</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．礼制秩序已经彻底崩溃</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．成文法公布冲击了礼乐观念</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lang w:val="en-US" w:eastAsia="zh-CN"/>
        </w:rPr>
        <w:t>33</w:t>
      </w:r>
      <w:r>
        <w:rPr>
          <w:rFonts w:ascii="思源黑体 CN Light" w:hAnsi="思源黑体 CN Light" w:cs="宋体" w:eastAsia="思源黑体 CN Light"/>
          <w:sz w:val="22"/>
          <w:szCs w:val="22"/>
          <w:lang w:val="en-US" w:eastAsia="zh-CN"/>
        </w:rPr>
        <w:t>，</w:t>
      </w:r>
      <w:r>
        <w:rPr>
          <w:rFonts w:ascii="思源黑体 CN Light" w:hAnsi="思源黑体 CN Light" w:cs="宋体" w:eastAsia="思源黑体 CN Light"/>
          <w:sz w:val="22"/>
          <w:szCs w:val="22"/>
        </w:rPr>
        <w:t>东夷是周朝时中原族群对东方族群的泛称，春秋时期东夷族群的铜器中使用铭文与同时期的中原族群存在一些差异，但铭文种类、惯用词句、纪年方式、书写方式以及人的称呼、排行等方面，与中原族群保持了相当高的一致性。由此可知，东夷族群（   ）</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A</w:t>
      </w:r>
      <w:r>
        <w:rPr>
          <w:rFonts w:ascii="思源黑体 CN Light" w:hAnsi="思源黑体 CN Light" w:cs="宋体" w:eastAsia="思源黑体 CN Light"/>
          <w:sz w:val="22"/>
          <w:szCs w:val="22"/>
        </w:rPr>
        <w:t>．与中原族群同步发展</w:t>
      </w:r>
      <w:r>
        <w:rPr>
          <w:rFonts w:eastAsia="思源黑体 CN Light" w:cs="宋体" w:ascii="思源黑体 CN Light" w:hAnsi="思源黑体 CN Light"/>
          <w:sz w:val="22"/>
          <w:szCs w:val="22"/>
        </w:rPr>
        <w:tab/>
        <w:t>B</w:t>
      </w:r>
      <w:r>
        <w:rPr>
          <w:rFonts w:ascii="思源黑体 CN Light" w:hAnsi="思源黑体 CN Light" w:cs="宋体" w:eastAsia="思源黑体 CN Light"/>
          <w:sz w:val="22"/>
          <w:szCs w:val="22"/>
        </w:rPr>
        <w:t>．逐渐融入中原文明</w:t>
      </w:r>
    </w:p>
    <w:p>
      <w:pPr>
        <w:pStyle w:val="Normal"/>
        <w:tabs>
          <w:tab w:val="clear" w:pos="420"/>
          <w:tab w:val="left" w:pos="4153" w:leader="none"/>
        </w:tabs>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C</w:t>
      </w:r>
      <w:r>
        <w:rPr>
          <w:rFonts w:ascii="思源黑体 CN Light" w:hAnsi="思源黑体 CN Light" w:cs="宋体" w:eastAsia="思源黑体 CN Light"/>
          <w:sz w:val="22"/>
          <w:szCs w:val="22"/>
        </w:rPr>
        <w:t>．与中原诸国争夺霸权</w:t>
      </w:r>
      <w:r>
        <w:rPr>
          <w:rFonts w:eastAsia="思源黑体 CN Light" w:cs="宋体" w:ascii="思源黑体 CN Light" w:hAnsi="思源黑体 CN Light"/>
          <w:sz w:val="22"/>
          <w:szCs w:val="22"/>
        </w:rPr>
        <w:tab/>
        <w:t>D</w:t>
      </w:r>
      <w:r>
        <w:rPr>
          <w:rFonts w:ascii="思源黑体 CN Light" w:hAnsi="思源黑体 CN Light" w:cs="宋体" w:eastAsia="思源黑体 CN Light"/>
          <w:sz w:val="22"/>
          <w:szCs w:val="22"/>
        </w:rPr>
        <w:t>．注重发展冶金工艺</w:t>
      </w:r>
    </w:p>
    <w:p>
      <w:pPr>
        <w:pStyle w:val="Normal"/>
        <w:spacing w:lineRule="auto" w:line="240"/>
        <w:rPr>
          <w:rFonts w:ascii="思源黑体 CN Light" w:hAnsi="思源黑体 CN Light" w:eastAsia="思源黑体 CN Light"/>
        </w:rPr>
      </w:pPr>
      <w:r>
        <w:rPr>
          <w:rFonts w:ascii="思源黑体 CN Light" w:hAnsi="思源黑体 CN Light" w:cs="宋体" w:eastAsia="思源黑体 CN Light"/>
          <w:b/>
          <w:sz w:val="22"/>
          <w:szCs w:val="22"/>
        </w:rPr>
        <w:t>二、材料分析题</w:t>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36</w:t>
      </w:r>
      <w:r>
        <w:rPr>
          <w:rFonts w:ascii="思源黑体 CN Light" w:hAnsi="思源黑体 CN Light" w:cs="宋体" w:eastAsia="思源黑体 CN Light"/>
          <w:sz w:val="22"/>
          <w:szCs w:val="22"/>
        </w:rPr>
        <w:t>、阅读材料，回答问题</w:t>
      </w:r>
    </w:p>
    <w:p>
      <w:pPr>
        <w:pStyle w:val="Normal"/>
        <w:spacing w:lineRule="auto" w:line="240"/>
        <w:ind w:left="7260" w:hanging="7260"/>
        <w:jc w:val="left"/>
        <w:textAlignment w:val="center"/>
        <w:rPr>
          <w:rFonts w:ascii="思源黑体 CN Light" w:hAnsi="思源黑体 CN Light" w:eastAsia="思源黑体 CN Light"/>
        </w:rPr>
      </w:pPr>
      <w:r>
        <w:rPr>
          <w:rFonts w:ascii="思源黑体 CN Light" w:hAnsi="思源黑体 CN Light" w:cs="宋体" w:eastAsia="思源黑体 CN Light"/>
          <w:sz w:val="22"/>
          <w:szCs w:val="22"/>
        </w:rPr>
        <w:t>材料一：  ……省刑罚，薄赋敛，深耕易耨……修其孝悌忠信，入以事父兄，出以事其长。                             ——《孟子</w:t>
      </w:r>
      <w:r>
        <w:rPr>
          <w:rFonts w:eastAsia="思源黑体 CN Light" w:cs="宋体" w:ascii="思源黑体 CN Light" w:hAnsi="思源黑体 CN Light"/>
          <w:sz w:val="22"/>
          <w:szCs w:val="22"/>
        </w:rPr>
        <w:t>·</w:t>
      </w:r>
      <w:r>
        <w:rPr>
          <w:rFonts w:ascii="思源黑体 CN Light" w:hAnsi="思源黑体 CN Light" w:cs="宋体" w:eastAsia="思源黑体 CN Light"/>
          <w:sz w:val="22"/>
          <w:szCs w:val="22"/>
        </w:rPr>
        <w:t>梁惠王上》</w:t>
      </w:r>
    </w:p>
    <w:p>
      <w:pPr>
        <w:pStyle w:val="Normal"/>
        <w:spacing w:lineRule="auto" w:line="240"/>
        <w:jc w:val="left"/>
        <w:textAlignment w:val="center"/>
        <w:rPr>
          <w:rFonts w:ascii="思源黑体 CN Light" w:hAnsi="思源黑体 CN Light" w:eastAsia="思源黑体 CN Light"/>
        </w:rPr>
      </w:pPr>
      <w:r>
        <w:rPr>
          <w:rFonts w:ascii="思源黑体 CN Light" w:hAnsi="思源黑体 CN Light" w:cs="宋体" w:eastAsia="思源黑体 CN Light"/>
          <w:sz w:val="22"/>
          <w:szCs w:val="22"/>
        </w:rPr>
        <w:t xml:space="preserve">材料二： “时移世易，变法宜矣”“废先王之教”，而实行变革，“以法为教”“事在四方，要在中央；圣人执要，四方来效”“万乘之主，千乘之君，所以治天下而征诸侯者，以其威势也”。                   </w:t>
      </w:r>
      <w:r>
        <w:rPr>
          <w:rFonts w:ascii="思源黑体 CN Light" w:hAnsi="思源黑体 CN Light" w:cs="宋体" w:eastAsia="思源黑体 CN Light"/>
          <w:sz w:val="22"/>
          <w:szCs w:val="22"/>
          <w:lang w:val="en-US" w:eastAsia="zh-CN"/>
        </w:rPr>
        <w:t xml:space="preserve">    </w:t>
      </w:r>
    </w:p>
    <w:p>
      <w:pPr>
        <w:pStyle w:val="Normal"/>
        <w:spacing w:lineRule="auto" w:line="240"/>
        <w:ind w:firstLine="7480"/>
        <w:jc w:val="left"/>
        <w:textAlignment w:val="center"/>
        <w:rPr>
          <w:rFonts w:ascii="思源黑体 CN Light" w:hAnsi="思源黑体 CN Light" w:eastAsia="思源黑体 CN Light"/>
        </w:rPr>
      </w:pPr>
      <w:r>
        <w:rPr>
          <w:rFonts w:ascii="思源黑体 CN Light" w:hAnsi="思源黑体 CN Light" w:cs="宋体" w:eastAsia="思源黑体 CN Light"/>
          <w:sz w:val="22"/>
          <w:szCs w:val="22"/>
        </w:rPr>
        <w:t>——</w:t>
      </w:r>
      <w:r>
        <w:rPr>
          <w:rFonts w:ascii="思源黑体 CN Light" w:hAnsi="思源黑体 CN Light" w:cs="宋体" w:eastAsia="思源黑体 CN Light"/>
          <w:sz w:val="22"/>
          <w:szCs w:val="22"/>
        </w:rPr>
        <w:t>《韩非子》</w:t>
      </w:r>
    </w:p>
    <w:p>
      <w:pPr>
        <w:pStyle w:val="Normal"/>
        <w:spacing w:lineRule="auto" w:line="240"/>
        <w:jc w:val="left"/>
        <w:textAlignment w:val="center"/>
        <w:rPr>
          <w:rFonts w:ascii="思源黑体 CN Light" w:hAnsi="思源黑体 CN Light" w:eastAsia="思源黑体 CN Light"/>
        </w:rPr>
      </w:pPr>
      <w:r>
        <w:rPr>
          <w:rFonts w:ascii="思源黑体 CN Light" w:hAnsi="思源黑体 CN Light" w:cs="宋体" w:eastAsia="思源黑体 CN Light"/>
          <w:sz w:val="22"/>
          <w:szCs w:val="22"/>
        </w:rPr>
        <w:t>请回答：</w:t>
      </w:r>
    </w:p>
    <w:p>
      <w:pPr>
        <w:pStyle w:val="Normal"/>
        <w:spacing w:lineRule="auto" w:line="240"/>
        <w:jc w:val="left"/>
        <w:textAlignment w:val="center"/>
        <w:rPr>
          <w:rFonts w:ascii="思源黑体 CN Light" w:hAnsi="思源黑体 CN Light" w:eastAsia="思源黑体 CN Light"/>
        </w:rPr>
      </w:pPr>
      <w:r>
        <w:rPr>
          <w:rFonts w:ascii="思源黑体 CN Light" w:hAnsi="思源黑体 CN Light" w:cs="宋体" w:eastAsia="思源黑体 CN Light"/>
          <w:sz w:val="22"/>
          <w:szCs w:val="22"/>
        </w:rPr>
        <w:t>（</w:t>
      </w:r>
      <w:r>
        <w:rPr>
          <w:rFonts w:eastAsia="思源黑体 CN Light" w:cs="宋体" w:ascii="思源黑体 CN Light" w:hAnsi="思源黑体 CN Light"/>
          <w:sz w:val="22"/>
          <w:szCs w:val="22"/>
        </w:rPr>
        <w:t>1</w:t>
      </w:r>
      <w:r>
        <w:rPr>
          <w:rFonts w:ascii="思源黑体 CN Light" w:hAnsi="思源黑体 CN Light" w:cs="宋体" w:eastAsia="思源黑体 CN Light"/>
          <w:sz w:val="22"/>
          <w:szCs w:val="22"/>
        </w:rPr>
        <w:t>）材料一反映出孟子的什么思想？这种思想和当今中国的“以民为本”思想在本质上有何不同？</w:t>
      </w:r>
    </w:p>
    <w:p>
      <w:pPr>
        <w:pStyle w:val="Normal"/>
        <w:spacing w:lineRule="auto" w:line="240"/>
        <w:jc w:val="left"/>
        <w:textAlignment w:val="center"/>
        <w:rPr>
          <w:rFonts w:ascii="思源黑体 CN Light" w:hAnsi="思源黑体 CN Light" w:eastAsia="思源黑体 CN Light"/>
        </w:rPr>
      </w:pPr>
      <w:r>
        <w:rPr>
          <w:rFonts w:ascii="思源黑体 CN Light" w:hAnsi="思源黑体 CN Light" w:cs="宋体" w:eastAsia="思源黑体 CN Light"/>
          <w:sz w:val="22"/>
          <w:szCs w:val="22"/>
        </w:rPr>
        <w:t>（</w:t>
      </w:r>
      <w:r>
        <w:rPr>
          <w:rFonts w:eastAsia="思源黑体 CN Light" w:cs="宋体" w:ascii="思源黑体 CN Light" w:hAnsi="思源黑体 CN Light"/>
          <w:sz w:val="22"/>
          <w:szCs w:val="22"/>
        </w:rPr>
        <w:t>2</w:t>
      </w:r>
      <w:r>
        <w:rPr>
          <w:rFonts w:ascii="思源黑体 CN Light" w:hAnsi="思源黑体 CN Light" w:cs="宋体" w:eastAsia="思源黑体 CN Light"/>
          <w:sz w:val="22"/>
          <w:szCs w:val="22"/>
        </w:rPr>
        <w:t>）根据材料二并结合所学知识，指出材料反映了韩非子的哪些思想主张？这些主张有何重要影响？</w:t>
      </w:r>
    </w:p>
    <w:p>
      <w:pPr>
        <w:pStyle w:val="Normal"/>
        <w:spacing w:lineRule="auto" w:line="240"/>
        <w:jc w:val="left"/>
        <w:textAlignment w:val="center"/>
        <w:rPr>
          <w:rFonts w:ascii="思源黑体 CN Light" w:hAnsi="思源黑体 CN Light" w:eastAsia="思源黑体 CN Light" w:cs="宋体"/>
          <w:sz w:val="22"/>
          <w:szCs w:val="22"/>
        </w:rPr>
      </w:pPr>
      <w:r>
        <w:rPr>
          <w:rFonts w:eastAsia="思源黑体 CN Light" w:cs="宋体" w:ascii="思源黑体 CN Light" w:hAnsi="思源黑体 CN Light"/>
          <w:sz w:val="22"/>
          <w:szCs w:val="22"/>
        </w:rPr>
      </w:r>
    </w:p>
    <w:p>
      <w:pPr>
        <w:pStyle w:val="Normal"/>
        <w:spacing w:lineRule="auto" w:line="240"/>
        <w:jc w:val="left"/>
        <w:textAlignment w:val="center"/>
        <w:rPr>
          <w:rFonts w:ascii="思源黑体 CN Light" w:hAnsi="思源黑体 CN Light" w:eastAsia="思源黑体 CN Light" w:cs="宋体"/>
          <w:sz w:val="22"/>
          <w:szCs w:val="22"/>
        </w:rPr>
      </w:pPr>
      <w:r>
        <w:rPr>
          <w:rFonts w:eastAsia="思源黑体 CN Light" w:cs="宋体" w:ascii="思源黑体 CN Light" w:hAnsi="思源黑体 CN Light"/>
          <w:sz w:val="22"/>
          <w:szCs w:val="22"/>
        </w:rPr>
      </w:r>
    </w:p>
    <w:p>
      <w:pPr>
        <w:pStyle w:val="Normal"/>
        <w:spacing w:lineRule="auto" w:line="240"/>
        <w:jc w:val="left"/>
        <w:textAlignment w:val="center"/>
        <w:rPr>
          <w:rFonts w:ascii="思源黑体 CN Light" w:hAnsi="思源黑体 CN Light" w:eastAsia="思源黑体 CN Light" w:cs="宋体"/>
          <w:sz w:val="22"/>
          <w:szCs w:val="22"/>
        </w:rPr>
      </w:pPr>
      <w:r>
        <w:rPr>
          <w:rFonts w:eastAsia="思源黑体 CN Light" w:cs="宋体" w:ascii="思源黑体 CN Light" w:hAnsi="思源黑体 CN Light"/>
          <w:sz w:val="22"/>
          <w:szCs w:val="22"/>
        </w:rPr>
      </w:r>
    </w:p>
    <w:p>
      <w:pPr>
        <w:pStyle w:val="Normal"/>
        <w:spacing w:lineRule="auto" w:line="240"/>
        <w:jc w:val="left"/>
        <w:textAlignment w:val="center"/>
        <w:rPr>
          <w:rFonts w:ascii="思源黑体 CN Light" w:hAnsi="思源黑体 CN Light" w:eastAsia="思源黑体 CN Light" w:cs="宋体"/>
          <w:sz w:val="22"/>
          <w:szCs w:val="22"/>
        </w:rPr>
      </w:pPr>
      <w:r>
        <w:rPr>
          <w:rFonts w:eastAsia="思源黑体 CN Light" w:cs="宋体" w:ascii="思源黑体 CN Light" w:hAnsi="思源黑体 CN Light"/>
          <w:sz w:val="22"/>
          <w:szCs w:val="22"/>
        </w:rPr>
      </w:r>
    </w:p>
    <w:p>
      <w:pPr>
        <w:pStyle w:val="Normal"/>
        <w:spacing w:lineRule="auto" w:line="240"/>
        <w:jc w:val="left"/>
        <w:textAlignment w:val="center"/>
        <w:rPr>
          <w:rFonts w:ascii="思源黑体 CN Light" w:hAnsi="思源黑体 CN Light" w:eastAsia="思源黑体 CN Light" w:cs="宋体"/>
          <w:sz w:val="22"/>
          <w:szCs w:val="22"/>
        </w:rPr>
      </w:pPr>
      <w:r>
        <w:rPr>
          <w:rFonts w:eastAsia="思源黑体 CN Light" w:cs="宋体" w:ascii="思源黑体 CN Light" w:hAnsi="思源黑体 CN Light"/>
          <w:sz w:val="22"/>
          <w:szCs w:val="22"/>
        </w:rPr>
      </w:r>
    </w:p>
    <w:p>
      <w:pPr>
        <w:pStyle w:val="Normal"/>
        <w:spacing w:lineRule="auto" w:line="240"/>
        <w:jc w:val="left"/>
        <w:textAlignment w:val="center"/>
        <w:rPr>
          <w:rFonts w:ascii="思源黑体 CN Light" w:hAnsi="思源黑体 CN Light" w:eastAsia="思源黑体 CN Light"/>
        </w:rPr>
      </w:pPr>
      <w:r>
        <w:rPr>
          <w:rFonts w:eastAsia="思源黑体 CN Light" w:cs="宋体" w:ascii="思源黑体 CN Light" w:hAnsi="思源黑体 CN Light"/>
          <w:sz w:val="22"/>
          <w:szCs w:val="22"/>
        </w:rPr>
        <w:t>3</w:t>
      </w:r>
      <w:r>
        <w:rPr>
          <w:rFonts w:eastAsia="思源黑体 CN Light" w:cs="宋体" w:ascii="思源黑体 CN Light" w:hAnsi="思源黑体 CN Light"/>
          <w:sz w:val="22"/>
          <w:szCs w:val="22"/>
          <w:lang w:val="en-US" w:eastAsia="zh-CN"/>
        </w:rPr>
        <w:t>7</w:t>
      </w:r>
      <w:r>
        <w:rPr>
          <w:rFonts w:ascii="思源黑体 CN Light" w:hAnsi="思源黑体 CN Light" w:cs="宋体" w:eastAsia="思源黑体 CN Light"/>
          <w:sz w:val="22"/>
          <w:szCs w:val="22"/>
        </w:rPr>
        <w:t>．阅读材料，回答问题。</w:t>
      </w:r>
    </w:p>
    <w:p>
      <w:pPr>
        <w:pStyle w:val="Normal"/>
        <w:spacing w:lineRule="auto" w:line="240"/>
        <w:ind w:firstLine="450"/>
        <w:jc w:val="left"/>
        <w:textAlignment w:val="center"/>
        <w:rPr>
          <w:rFonts w:ascii="思源黑体 CN Light" w:hAnsi="思源黑体 CN Light" w:eastAsia="思源黑体 CN Light"/>
        </w:rPr>
      </w:pPr>
      <w:r>
        <w:rPr>
          <w:rFonts w:ascii="思源黑体 CN Light" w:hAnsi="思源黑体 CN Light" w:cs="宋体" w:eastAsia="思源黑体 CN Light"/>
          <w:sz w:val="22"/>
          <w:szCs w:val="22"/>
        </w:rPr>
        <w:t>材料</w:t>
      </w:r>
      <w:r>
        <w:rPr>
          <w:rFonts w:ascii="思源黑体 CN Light" w:hAnsi="思源黑体 CN Light" w:cs="宋体" w:eastAsia="思源黑体 CN Light"/>
          <w:sz w:val="22"/>
          <w:szCs w:val="22"/>
          <w:lang w:val="en-US" w:eastAsia="zh-CN"/>
        </w:rPr>
        <w:t>一</w:t>
      </w:r>
      <w:r>
        <w:rPr>
          <w:rFonts w:ascii="思源黑体 CN Light" w:hAnsi="思源黑体 CN Light" w:cs="宋体" w:eastAsia="思源黑体 CN Light"/>
          <w:sz w:val="22"/>
          <w:szCs w:val="22"/>
        </w:rPr>
        <w:t xml:space="preserve">  从春秋以至战国，诸侯之间相互并吞，大国争霸激烈。这看起来像是由于周室衰微而出现的一种分裂局面，其实正是在这个过程……形成了地区性的统一王国，战国七雄进一步兼并的结果，是在中国历史上出现了首次统一的秦，汉皇朝。</w:t>
      </w:r>
    </w:p>
    <w:p>
      <w:pPr>
        <w:pStyle w:val="Normal"/>
        <w:spacing w:lineRule="auto" w:line="240"/>
        <w:jc w:val="right"/>
        <w:textAlignment w:val="center"/>
        <w:rPr>
          <w:rFonts w:ascii="思源黑体 CN Light" w:hAnsi="思源黑体 CN Light" w:eastAsia="思源黑体 CN Light"/>
        </w:rPr>
      </w:pPr>
      <w:r>
        <w:rPr>
          <w:rFonts w:ascii="思源黑体 CN Light" w:hAnsi="思源黑体 CN Light" w:cs="宋体" w:eastAsia="思源黑体 CN Light"/>
          <w:sz w:val="22"/>
          <w:szCs w:val="22"/>
        </w:rPr>
        <w:t>——</w:t>
      </w:r>
      <w:r>
        <w:rPr>
          <w:rFonts w:ascii="思源黑体 CN Light" w:hAnsi="思源黑体 CN Light" w:cs="宋体" w:eastAsia="思源黑体 CN Light"/>
          <w:sz w:val="22"/>
          <w:szCs w:val="22"/>
        </w:rPr>
        <w:t>白寿彝总主编《中国通史》</w:t>
      </w:r>
    </w:p>
    <w:p>
      <w:pPr>
        <w:pStyle w:val="Normal"/>
        <w:spacing w:lineRule="auto" w:line="240"/>
        <w:ind w:firstLine="450"/>
        <w:jc w:val="left"/>
        <w:textAlignment w:val="center"/>
        <w:rPr>
          <w:rFonts w:ascii="思源黑体 CN Light" w:hAnsi="思源黑体 CN Light" w:eastAsia="思源黑体 CN Light"/>
        </w:rPr>
      </w:pPr>
      <w:r>
        <w:rPr>
          <w:rFonts w:ascii="思源黑体 CN Light" w:hAnsi="思源黑体 CN Light" w:cs="宋体" w:eastAsia="思源黑体 CN Light"/>
          <w:sz w:val="22"/>
          <w:szCs w:val="22"/>
        </w:rPr>
        <w:t>材料</w:t>
      </w:r>
      <w:r>
        <w:rPr>
          <w:rFonts w:ascii="思源黑体 CN Light" w:hAnsi="思源黑体 CN Light" w:cs="宋体" w:eastAsia="思源黑体 CN Light"/>
          <w:sz w:val="22"/>
          <w:szCs w:val="22"/>
          <w:lang w:val="en-US" w:eastAsia="zh-CN"/>
        </w:rPr>
        <w:t>二</w:t>
      </w:r>
      <w:r>
        <w:rPr>
          <w:rFonts w:ascii="思源黑体 CN Light" w:hAnsi="思源黑体 CN Light" w:cs="宋体" w:eastAsia="思源黑体 CN Light"/>
          <w:sz w:val="22"/>
          <w:szCs w:val="22"/>
        </w:rPr>
        <w:t xml:space="preserve">  秦始皇二十六年（公元前</w:t>
      </w:r>
      <w:r>
        <w:rPr>
          <w:rFonts w:eastAsia="思源黑体 CN Light" w:cs="宋体" w:ascii="思源黑体 CN Light" w:hAnsi="思源黑体 CN Light"/>
          <w:sz w:val="22"/>
          <w:szCs w:val="22"/>
        </w:rPr>
        <w:t>221</w:t>
      </w:r>
      <w:r>
        <w:rPr>
          <w:rFonts w:ascii="思源黑体 CN Light" w:hAnsi="思源黑体 CN Light" w:cs="宋体" w:eastAsia="思源黑体 CN Light"/>
          <w:sz w:val="22"/>
          <w:szCs w:val="22"/>
        </w:rPr>
        <w:t>年）议定皇帝尊号，初建封建朝廷之后不久，泰始皇和公卿大臣们便提出了在全国范围内建立地方行政机构的问题。</w:t>
      </w:r>
    </w:p>
    <w:p>
      <w:pPr>
        <w:pStyle w:val="Normal"/>
        <w:spacing w:lineRule="auto" w:line="240"/>
        <w:jc w:val="right"/>
        <w:textAlignment w:val="center"/>
        <w:rPr>
          <w:rFonts w:ascii="思源黑体 CN Light" w:hAnsi="思源黑体 CN Light" w:eastAsia="思源黑体 CN Light"/>
        </w:rPr>
      </w:pPr>
      <w:r>
        <w:rPr>
          <w:rFonts w:ascii="思源黑体 CN Light" w:hAnsi="思源黑体 CN Light" w:cs="宋体" w:eastAsia="思源黑体 CN Light"/>
          <w:sz w:val="22"/>
          <w:szCs w:val="22"/>
        </w:rPr>
        <w:t>——</w:t>
      </w:r>
      <w:r>
        <w:rPr>
          <w:rFonts w:ascii="思源黑体 CN Light" w:hAnsi="思源黑体 CN Light" w:cs="宋体" w:eastAsia="思源黑体 CN Light"/>
          <w:sz w:val="22"/>
          <w:szCs w:val="22"/>
        </w:rPr>
        <w:t>白寿彝总主编《中国通史》</w:t>
      </w:r>
    </w:p>
    <w:p>
      <w:pPr>
        <w:pStyle w:val="Normal"/>
        <w:spacing w:lineRule="auto" w:line="240"/>
        <w:jc w:val="left"/>
        <w:textAlignment w:val="center"/>
        <w:rPr>
          <w:rFonts w:ascii="思源黑体 CN Light" w:hAnsi="思源黑体 CN Light" w:eastAsia="思源黑体 CN Light"/>
        </w:rPr>
      </w:pPr>
      <w:r>
        <w:rPr>
          <w:rFonts w:ascii="思源黑体 CN Light" w:hAnsi="思源黑体 CN Light" w:cs="宋体" w:eastAsia="思源黑体 CN Light"/>
          <w:sz w:val="22"/>
          <w:szCs w:val="22"/>
        </w:rPr>
        <w:t>（</w:t>
      </w:r>
      <w:r>
        <w:rPr>
          <w:rFonts w:eastAsia="思源黑体 CN Light" w:cs="宋体" w:ascii="思源黑体 CN Light" w:hAnsi="思源黑体 CN Light"/>
          <w:sz w:val="22"/>
          <w:szCs w:val="22"/>
          <w:lang w:val="en-US" w:eastAsia="zh-CN"/>
        </w:rPr>
        <w:t>1</w:t>
      </w:r>
      <w:r>
        <w:rPr>
          <w:rFonts w:ascii="思源黑体 CN Light" w:hAnsi="思源黑体 CN Light" w:cs="宋体" w:eastAsia="思源黑体 CN Light"/>
          <w:sz w:val="22"/>
          <w:szCs w:val="22"/>
        </w:rPr>
        <w:t>）根据材料二概括指出“大国争霸”出现的原因及其产生的客观进步作用。</w:t>
      </w:r>
    </w:p>
    <w:p>
      <w:pPr>
        <w:pStyle w:val="Normal"/>
        <w:spacing w:lineRule="auto" w:line="240"/>
        <w:jc w:val="left"/>
        <w:textAlignment w:val="center"/>
        <w:rPr>
          <w:rFonts w:ascii="思源黑体 CN Light" w:hAnsi="思源黑体 CN Light" w:eastAsia="思源黑体 CN Light"/>
        </w:rPr>
      </w:pPr>
      <w:r>
        <w:rPr>
          <w:rFonts w:ascii="思源黑体 CN Light" w:hAnsi="思源黑体 CN Light" w:cs="宋体" w:eastAsia="思源黑体 CN Light"/>
          <w:sz w:val="22"/>
          <w:szCs w:val="22"/>
        </w:rPr>
        <w:t>（</w:t>
      </w:r>
      <w:r>
        <w:rPr>
          <w:rFonts w:eastAsia="思源黑体 CN Light" w:cs="宋体" w:ascii="思源黑体 CN Light" w:hAnsi="思源黑体 CN Light"/>
          <w:sz w:val="22"/>
          <w:szCs w:val="22"/>
          <w:lang w:val="en-US" w:eastAsia="zh-CN"/>
        </w:rPr>
        <w:t>2</w:t>
      </w:r>
      <w:r>
        <w:rPr>
          <w:rFonts w:ascii="思源黑体 CN Light" w:hAnsi="思源黑体 CN Light" w:cs="宋体" w:eastAsia="思源黑体 CN Light"/>
          <w:sz w:val="22"/>
          <w:szCs w:val="22"/>
        </w:rPr>
        <w:t>）根据材料三并结合所学知识，指出</w:t>
      </w:r>
      <w:bookmarkStart w:id="0" w:name="_GoBack"/>
      <w:bookmarkEnd w:id="0"/>
      <w:r>
        <w:rPr>
          <w:rFonts w:ascii="思源黑体 CN Light" w:hAnsi="思源黑体 CN Light" w:cs="宋体" w:eastAsia="思源黑体 CN Light"/>
          <w:sz w:val="22"/>
          <w:szCs w:val="22"/>
        </w:rPr>
        <w:t>秦朝解决“问题”的措施及成效。</w:t>
      </w:r>
    </w:p>
    <w:sectPr>
      <w:footerReference w:type="even" r:id="rId2"/>
      <w:footerReference w:type="default" r:id="rId3"/>
      <w:type w:val="nextPage"/>
      <w:pgSz w:w="11906" w:h="16838"/>
      <w:pgMar w:left="720" w:right="720" w:gutter="0" w:header="0" w:top="720" w:footer="720" w:bottom="1168"/>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思源黑体 CN Light">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mc:AlternateContent>
        <mc:Choice Requires="wps">
          <w:drawing>
            <wp:anchor behindDoc="1" distT="0" distB="0" distL="0" distR="0" simplePos="0" locked="0" layoutInCell="0" allowOverlap="1" relativeHeight="10">
              <wp:simplePos x="0" y="0"/>
              <wp:positionH relativeFrom="margin">
                <wp:align>center</wp:align>
              </wp:positionH>
              <wp:positionV relativeFrom="paragraph">
                <wp:posOffset>635</wp:posOffset>
              </wp:positionV>
              <wp:extent cx="1829435" cy="130810"/>
              <wp:effectExtent l="0" t="0" r="0" b="0"/>
              <wp:wrapNone/>
              <wp:docPr id="1" name="文本框 1026"/>
              <a:graphic xmlns:a="http://schemas.openxmlformats.org/drawingml/2006/main">
                <a:graphicData uri="http://schemas.microsoft.com/office/word/2010/wordprocessingShape">
                  <wps:wsp>
                    <wps:cNvSpPr/>
                    <wps:spPr>
                      <a:xfrm>
                        <a:off x="0" y="0"/>
                        <a:ext cx="1828800" cy="130320"/>
                      </a:xfrm>
                      <a:prstGeom prst="rect">
                        <a:avLst/>
                      </a:prstGeom>
                      <a:noFill/>
                      <a:ln w="0">
                        <a:noFill/>
                      </a:ln>
                    </wps:spPr>
                    <wps:style>
                      <a:lnRef idx="0"/>
                      <a:fillRef idx="0"/>
                      <a:effectRef idx="0"/>
                      <a:fontRef idx="minor"/>
                    </wps:style>
                    <wps:txbx>
                      <w:txbxContent>
                        <w:p>
                          <w:pPr>
                            <w:pStyle w:val="Style20"/>
                            <w:rPr/>
                          </w:pPr>
                          <w:r>
                            <w:rPr/>
                            <w:fldChar w:fldCharType="begin"/>
                          </w:r>
                          <w:r>
                            <w:rPr/>
                            <w:instrText> PAGE </w:instrText>
                          </w:r>
                          <w:r>
                            <w:rPr/>
                            <w:fldChar w:fldCharType="separate"/>
                          </w:r>
                          <w:r>
                            <w:rPr/>
                            <w:t>6</w:t>
                          </w:r>
                          <w:r>
                            <w:rPr/>
                            <w:fldChar w:fldCharType="end"/>
                          </w:r>
                        </w:p>
                      </w:txbxContent>
                    </wps:txbx>
                    <wps:bodyPr lIns="0" rIns="0" tIns="0" bIns="0" anchor="t">
                      <a:spAutoFit/>
                    </wps:bodyPr>
                  </wps:wsp>
                </a:graphicData>
              </a:graphic>
            </wp:anchor>
          </w:drawing>
        </mc:Choice>
        <mc:Fallback>
          <w:pict>
            <v:rect id="shape_0" ID="文本框 1026" path="m0,0l-2147483645,0l-2147483645,-2147483646l0,-2147483646xe" stroked="f" o:allowincell="f" style="position:absolute;margin-left:189.65pt;margin-top:0pt;width:143.95pt;height:10.2pt;mso-wrap-style:none;v-text-anchor:top;mso-position-horizontal:center;mso-position-horizontal-relative:margin">
              <v:fill o:detectmouseclick="t" on="false"/>
              <v:stroke color="#3465a4" joinstyle="round" endcap="flat"/>
              <v:textbox>
                <w:txbxContent>
                  <w:p>
                    <w:pPr>
                      <w:pStyle w:val="Style20"/>
                      <w:rPr/>
                    </w:pPr>
                    <w:r>
                      <w:rPr/>
                      <w:fldChar w:fldCharType="begin"/>
                    </w:r>
                    <w:r>
                      <w:rPr/>
                      <w:instrText> PAGE </w:instrText>
                    </w:r>
                    <w:r>
                      <w:rPr/>
                      <w:fldChar w:fldCharType="separate"/>
                    </w:r>
                    <w:r>
                      <w:rPr/>
                      <w:t>6</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mc:AlternateContent>
        <mc:Choice Requires="wps">
          <w:drawing>
            <wp:anchor behindDoc="1" distT="0" distB="0" distL="0" distR="0" simplePos="0" locked="0" layoutInCell="0" allowOverlap="1" relativeHeight="5">
              <wp:simplePos x="0" y="0"/>
              <wp:positionH relativeFrom="margin">
                <wp:posOffset>2289810</wp:posOffset>
              </wp:positionH>
              <wp:positionV relativeFrom="paragraph">
                <wp:posOffset>-130175</wp:posOffset>
              </wp:positionV>
              <wp:extent cx="1829435" cy="130810"/>
              <wp:effectExtent l="0" t="0" r="0" b="0"/>
              <wp:wrapNone/>
              <wp:docPr id="3" name="文本框 1025"/>
              <a:graphic xmlns:a="http://schemas.openxmlformats.org/drawingml/2006/main">
                <a:graphicData uri="http://schemas.microsoft.com/office/word/2010/wordprocessingShape">
                  <wps:wsp>
                    <wps:cNvSpPr/>
                    <wps:spPr>
                      <a:xfrm>
                        <a:off x="0" y="0"/>
                        <a:ext cx="1828800" cy="130320"/>
                      </a:xfrm>
                      <a:prstGeom prst="rect">
                        <a:avLst/>
                      </a:prstGeom>
                      <a:noFill/>
                      <a:ln w="0">
                        <a:noFill/>
                      </a:ln>
                    </wps:spPr>
                    <wps:style>
                      <a:lnRef idx="0"/>
                      <a:fillRef idx="0"/>
                      <a:effectRef idx="0"/>
                      <a:fontRef idx="minor"/>
                    </wps:style>
                    <wps:txbx>
                      <w:txbxContent>
                        <w:p>
                          <w:pPr>
                            <w:pStyle w:val="Style20"/>
                            <w:rPr/>
                          </w:pPr>
                          <w:r>
                            <w:rPr/>
                            <w:fldChar w:fldCharType="begin"/>
                          </w:r>
                          <w:r>
                            <w:rPr/>
                            <w:instrText> PAGE </w:instrText>
                          </w:r>
                          <w:r>
                            <w:rPr/>
                            <w:fldChar w:fldCharType="separate"/>
                          </w:r>
                          <w:r>
                            <w:rPr/>
                            <w:t>5</w:t>
                          </w:r>
                          <w:r>
                            <w:rPr/>
                            <w:fldChar w:fldCharType="end"/>
                          </w:r>
                        </w:p>
                      </w:txbxContent>
                    </wps:txbx>
                    <wps:bodyPr lIns="0" rIns="0" tIns="0" bIns="0" anchor="t">
                      <a:spAutoFit/>
                    </wps:bodyPr>
                  </wps:wsp>
                </a:graphicData>
              </a:graphic>
            </wp:anchor>
          </w:drawing>
        </mc:Choice>
        <mc:Fallback>
          <w:pict>
            <v:rect id="shape_0" ID="文本框 1025" path="m0,0l-2147483645,0l-2147483645,-2147483646l0,-2147483646xe" stroked="f" o:allowincell="f" style="position:absolute;margin-left:180.3pt;margin-top:-10.25pt;width:143.95pt;height:10.2pt;mso-wrap-style:none;v-text-anchor:top;mso-position-horizontal-relative:margin">
              <v:fill o:detectmouseclick="t" on="false"/>
              <v:stroke color="#3465a4" joinstyle="round" endcap="flat"/>
              <v:textbox>
                <w:txbxContent>
                  <w:p>
                    <w:pPr>
                      <w:pStyle w:val="Style20"/>
                      <w:rPr/>
                    </w:pPr>
                    <w:r>
                      <w:rPr/>
                      <w:fldChar w:fldCharType="begin"/>
                    </w:r>
                    <w:r>
                      <w:rPr/>
                      <w:instrText> PAGE </w:instrText>
                    </w:r>
                    <w:r>
                      <w:rPr/>
                      <w:fldChar w:fldCharType="separate"/>
                    </w:r>
                    <w:r>
                      <w:rPr/>
                      <w:t>5</w:t>
                    </w:r>
                    <w:r>
                      <w:rPr/>
                      <w:fldChar w:fldCharType="end"/>
                    </w:r>
                  </w:p>
                </w:txbxContent>
              </v:textbox>
              <w10:wrap type="none"/>
            </v:rect>
          </w:pict>
        </mc:Fallback>
      </mc:AlternateContent>
    </w:r>
  </w:p>
</w:ftr>
</file>

<file path=word/settings.xml><?xml version="1.0" encoding="utf-8"?>
<w:settings xmlns:w="http://schemas.openxmlformats.org/wordprocessingml/2006/main">
  <w:zoom w:percent="130"/>
  <w:defaultTabStop w:val="420"/>
  <w:autoHyphenation w:val="true"/>
  <w:evenAndOddHeader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Times New Roman" w:hAnsi="Times New Roman" w:eastAsia="宋体" w:cs="Times New Roman"/>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4"/>
    <w:uiPriority w:val="99"/>
    <w:qFormat/>
    <w:rPr>
      <w:sz w:val="18"/>
      <w:szCs w:val="18"/>
    </w:rPr>
  </w:style>
  <w:style w:type="character" w:styleId="Char1" w:customStyle="1">
    <w:name w:val="页脚 Char"/>
    <w:basedOn w:val="DefaultParagraphFont"/>
    <w:link w:val="3"/>
    <w:uiPriority w:val="99"/>
    <w:semiHidden/>
    <w:qFormat/>
    <w:rPr>
      <w:sz w:val="18"/>
      <w:szCs w:val="18"/>
    </w:rPr>
  </w:style>
  <w:style w:type="character" w:styleId="Char2" w:customStyle="1">
    <w:name w:val="批注框文本 Char"/>
    <w:basedOn w:val="DefaultParagraphFont"/>
    <w:link w:val="2"/>
    <w:uiPriority w:val="99"/>
    <w:semiHidden/>
    <w:qFormat/>
    <w:rPr>
      <w:sz w:val="18"/>
      <w:szCs w:val="18"/>
    </w:rPr>
  </w:style>
  <w:style w:type="character" w:styleId="Char3" w:customStyle="1">
    <w:name w:val="无间隔 Char"/>
    <w:basedOn w:val="DefaultParagraphFont"/>
    <w:link w:val="10"/>
    <w:uiPriority w:val="1"/>
    <w:qFormat/>
    <w:rPr>
      <w:kern w:val="0"/>
      <w:sz w:val="22"/>
    </w:rPr>
  </w:style>
  <w:style w:type="paragraph" w:styleId="Style14">
    <w:name w:val="标题样式"/>
    <w:basedOn w:val="Normal"/>
    <w:next w:val="Style15"/>
    <w:qFormat/>
    <w:pPr>
      <w:keepNext w:val="true"/>
      <w:spacing w:before="240" w:after="120"/>
    </w:pPr>
    <w:rPr>
      <w:rFonts w:ascii="Liberation Sans" w:hAnsi="Liberation Sans" w:eastAsia="思源黑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BalloonText">
    <w:name w:val="Balloon Text"/>
    <w:basedOn w:val="Normal"/>
    <w:link w:val="9"/>
    <w:uiPriority w:val="99"/>
    <w:semiHidden/>
    <w:unhideWhenUsed/>
    <w:qFormat/>
    <w:pPr/>
    <w:rPr>
      <w:sz w:val="18"/>
      <w:szCs w:val="18"/>
    </w:rPr>
  </w:style>
  <w:style w:type="paragraph" w:styleId="Style19">
    <w:name w:val="页眉与页脚"/>
    <w:basedOn w:val="Normal"/>
    <w:qFormat/>
    <w:pPr/>
    <w:rPr/>
  </w:style>
  <w:style w:type="paragraph" w:styleId="Style20">
    <w:name w:val="Footer"/>
    <w:basedOn w:val="Normal"/>
    <w:link w:val="8"/>
    <w:uiPriority w:val="99"/>
    <w:semiHidden/>
    <w:unhideWhenUsed/>
    <w:qFormat/>
    <w:pPr>
      <w:tabs>
        <w:tab w:val="clear" w:pos="420"/>
        <w:tab w:val="center" w:pos="4153" w:leader="none"/>
        <w:tab w:val="right" w:pos="8306" w:leader="none"/>
      </w:tabs>
      <w:snapToGrid w:val="false"/>
      <w:jc w:val="left"/>
    </w:pPr>
    <w:rPr>
      <w:sz w:val="18"/>
      <w:szCs w:val="18"/>
    </w:rPr>
  </w:style>
  <w:style w:type="paragraph" w:styleId="Style21">
    <w:name w:val="Header"/>
    <w:basedOn w:val="Normal"/>
    <w:link w:val="7"/>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Spacing">
    <w:name w:val="No Spacing"/>
    <w:link w:val="11"/>
    <w:uiPriority w:val="1"/>
    <w:qFormat/>
    <w:pPr>
      <w:widowControl/>
      <w:bidi w:val="0"/>
      <w:spacing w:before="0" w:after="0"/>
      <w:jc w:val="left"/>
    </w:pPr>
    <w:rPr>
      <w:rFonts w:ascii="Times New Roman" w:hAnsi="Times New Roman" w:eastAsia="宋体" w:cs="Times New Roman"/>
      <w:color w:val="auto"/>
      <w:kern w:val="0"/>
      <w:sz w:val="22"/>
      <w:szCs w:val="22"/>
      <w:lang w:val="en-US" w:eastAsia="zh-CN" w:bidi="ar-SA"/>
    </w:rPr>
  </w:style>
  <w:style w:type="paragraph" w:styleId="Style22">
    <w:name w:val="框架内容"/>
    <w:basedOn w:val="Normal"/>
    <w:qFormat/>
    <w:pPr/>
    <w:rPr/>
  </w:style>
  <w:style w:type="table" w:default="1" w:styleId="5">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A73ED69-878D-4213-8577-CEEE7592A04B}">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Application>LibreOffice/7.2.1.2$Linux_X86_64 LibreOffice_project/20$Build-2</Application>
  <AppVersion>15.0000</AppVersion>
  <Pages>6</Pages>
  <Words>3516</Words>
  <Characters>3585</Characters>
  <CharactersWithSpaces>3874</CharactersWithSpaces>
  <Paragraphs>102</Paragraphs>
  <Company>zxxk.com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zxxk</dc:creator>
  <dc:description/>
  <dc:language>zh-CN</dc:language>
  <cp:lastModifiedBy>lin</cp:lastModifiedBy>
  <cp:lastPrinted>2021-09-25T06:40:00Z</cp:lastPrinted>
  <dcterms:modified xsi:type="dcterms:W3CDTF">2021-10-04T12:02:06Z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8033B872EBA64BBD913EA6700B7779C6</vt:lpwstr>
  </property>
  <property fmtid="{D5CDD505-2E9C-101B-9397-08002B2CF9AE}" pid="3" name="KSOProductBuildVer">
    <vt:lpwstr>2052-11.1.0.10938</vt:lpwstr>
  </property>
</Properties>
</file>