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/>
        </w:rPr>
        <w:t>智能货代助手 一期功能缺陷测试报告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 xml:space="preserve">**测试日期**：2026-08-08（周六）  </w:t>
      </w:r>
    </w:p>
    <w:p>
      <w:r>
        <w:rPr>
          <w:rFonts w:ascii="宋体" w:hAnsi="宋体"/>
          <w:i/>
          <w:sz w:val="20"/>
        </w:rPr>
        <w:t xml:space="preserve">**测试基线**：v1.1 SKILL.md  </w:t>
      </w:r>
    </w:p>
    <w:p>
      <w:r>
        <w:rPr>
          <w:rFonts w:ascii="宋体" w:hAnsi="宋体"/>
          <w:i/>
          <w:sz w:val="20"/>
        </w:rPr>
        <w:t xml:space="preserve">**测试范围**：运价查询、船期追踪、汇率查询、目的港政策、术语百科  </w:t>
      </w:r>
    </w:p>
    <w:p>
      <w:r>
        <w:rPr>
          <w:rFonts w:ascii="宋体" w:hAnsi="宋体"/>
          <w:i/>
          <w:sz w:val="20"/>
        </w:rPr>
        <w:t>**测试策略**：从正常路径、边缘条件、数据质量、竞品对比四个维度，逐功能挖缺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一、运价查询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1.1 三条对比航线测试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航线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柜型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数据来源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A-主流航线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上海→汉堡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40HQ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 $3,292-$3,326，含船公司/船名/ETD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shippingeuro.com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B-非洲航线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上海→拉各斯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40HQ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⚠️ 有数据但仅为 40FT 笼统报价 $3,500-$4,500，无船公司/船名/ETD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basenton/ubestshipping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C-俄远东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上海→符拉迪沃斯托克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40HC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⚠️ 仅 FESCO 一家报价 $3,450，含复杂附加费结构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FESCO 官方费率表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1.2 发现缺陷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**数据粒度不一致**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主流航线（欧线、美线）能查到船公司+船名航次+ETD+精确运价，非洲/拉美/俄远东等小众航线仅为区间报价或无船名，SKILL.md 运价输出模板要求「船公司+船名航次+ETD」五列，小众航线无法填满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**柜型表述不统一**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不同平台对同一种柜型的叫法不同：shippingeuro 用 40HC，basenton 用 40FT container，FESCO 用 40'&amp;HC。40FT 可指 40GP 或 40HC，用户输入 40HQ 时可能匹配到错误数据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**运价口径含混**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shippingeuro 报价含 OWS 但不含 BAF/FAF，basenton 报价含基础海运费但不含附加费，FESCO 报价含 THC 但不含 DOC FEE。同一航线不同来源的「运价」实际覆盖的费用项不同，直接对比可能误导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**有效期标注不一致**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汉堡航线标有效期至 8/16，拉各斯航线无有效期，符拉迪沃斯托克标注"Valid from 25th of June 2026"但无截止日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1.3 建议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SKILL.md 输出模板增加「数据完整度」标注：完整（有船名+ETD）/ 参考（仅价格区间），让用户知道数据可信度</w:t>
      </w:r>
    </w:p>
    <w:p>
      <w:pPr>
        <w:pStyle w:val="ListBullet"/>
      </w:pPr>
      <w:r>
        <w:rPr>
          <w:rFonts w:ascii="宋体" w:hAnsi="宋体"/>
          <w:sz w:val="22"/>
        </w:rPr>
        <w:t>柜型做标准化映射：40HQ = 40HC = 40'High Cube，输出时统一用 40HQ</w:t>
      </w:r>
    </w:p>
    <w:p>
      <w:pPr>
        <w:pStyle w:val="ListBullet"/>
      </w:pPr>
      <w:r>
        <w:rPr>
          <w:rFonts w:ascii="宋体" w:hAnsi="宋体"/>
          <w:sz w:val="22"/>
        </w:rPr>
        <w:t>运价旁标注费用口径（如"不含 BAF/FAF/OTHC"），避免用户误以为全包价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二、船期 / 货物追踪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2.1 两条船实测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船名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IMO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A-中远海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COSCO SURABAYA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9518347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 位置：印度洋 → 新加坡，ETA 8/10 04:00，AIS 3h 前更新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B-地中海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MSC AURORA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9484481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 位置：巴利阿里海 → 巴塞罗那，ETA 8/7 08:46，AIS 1min 前更新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2.2 发现缺陷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**提单号/柜号直查不可用**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🔴 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一期 v1.1 将提单号/柜号直查标为「会员功能」，但实际链路从未验证通过。COSCO 官网追踪需登录+JS 渲染，web_fetch 无法穿透；51Tracking 等免费 API 尚未注册对接。**提单号追踪功能形同虚设**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**船名模糊输入无纠错**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用户输入 "COSCO SURABAY"（拼写不全）或 "中远苏腊巴亚"（中文名）时，AIS 平台无法匹配，返回空。Skill 未内置船名模糊匹配或别名表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**AIS 覆盖盲区**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远洋 AIS 信号靠卫星，部分海域更新延迟可达数小时（COSCO SURABAYA 3h 更新）；近海靠岸基站，更新可达 1min（MSC AURORA）。用户查远洋船时可能看到几小时前的位置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**ETA 时区歧义**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COSCO SURABAYA ETA 标注 "Aug 10, 04:00"，未标注 UTC 还是当地时间（新加坡 UTC+8），可能造成 8 小时误解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2.3 建议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提单号追踪链路必须端到端验证：注册 51Tracking 免费 API → 真实提单号测试 → 确认数据可返回</w:t>
      </w:r>
    </w:p>
    <w:p>
      <w:pPr>
        <w:pStyle w:val="ListBullet"/>
      </w:pPr>
      <w:r>
        <w:rPr>
          <w:rFonts w:ascii="宋体" w:hAnsi="宋体"/>
          <w:sz w:val="22"/>
        </w:rPr>
        <w:t>添加船名模糊搜索：用户输入部分船名时，先调用 AIS 平台的船名搜索接口，列出候选项让用户确认</w:t>
      </w:r>
    </w:p>
    <w:p>
      <w:pPr>
        <w:pStyle w:val="ListBullet"/>
      </w:pPr>
      <w:r>
        <w:rPr>
          <w:rFonts w:ascii="宋体" w:hAnsi="宋体"/>
          <w:sz w:val="22"/>
        </w:rPr>
        <w:t>ETA 统一标注时区："2026-08-10 04:00 UTC（新加坡时间 12:00）"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三、汇率查询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3.1 四种币种实测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币种对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现汇卖出价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数据日期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A-主流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USD/CNY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6.7699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2026-08-04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B-主流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EUR/CNY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7.8039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2026-08-04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C-小众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AED/CNY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1.8518（每100 AED）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2026-08-04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D-小众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GBP/CNY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9.1147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2026-08-04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3.2 发现缺陷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**汇率滞后（致命）**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🔴 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**当前日期 8/8（周六），BOC 最新数据为 8/4（周一），滞后 4 天**。中国银行外汇牌价仅工作日更新，周五牌价用到下周一。周六日/节假日查询时，汇率实际是上周五的。若用户周日拿到的汇率做报价，周一可能已变动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**币种呈现不一致**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AED 报价以「每 100 单位」计价（1.8518），USD 以「每 1 单位」计价（6.7699），用户若直接套用公式 1 AED = 1.8518 CNY 会出错，实际应为 1 AED = 0.018518 CNY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**无交叉汇率**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用户问「AED 换 EUR」时，Skill 只能用 AED→CNY→EUR 两步换算（1.8518/100 × 1/7.8039），而非直接查询 AED/EUR。两次四舍五入可能产生偏差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**无买入价提示**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货代实际换汇用的是银行现汇买入价（收汇）和卖出价（付汇），Skill 仅使用卖出价。用户如果是收美元（卖给银行），应该用 6.7416 而非 6.7699，差异 0.42%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3.3 建议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汇率输出必须标注「数据截止日期」和「下次更新时间（预计工作日）」，让用户知晓时效风险</w:t>
      </w:r>
    </w:p>
    <w:p>
      <w:pPr>
        <w:pStyle w:val="ListBullet"/>
      </w:pPr>
      <w:r>
        <w:rPr>
          <w:rFonts w:ascii="宋体" w:hAnsi="宋体"/>
          <w:sz w:val="22"/>
        </w:rPr>
        <w:t>非主流币种自动标注计价单位（如 1.8518 CNY / 100 AED）</w:t>
      </w:r>
    </w:p>
    <w:p>
      <w:pPr>
        <w:pStyle w:val="ListBullet"/>
      </w:pPr>
      <w:r>
        <w:rPr>
          <w:rFonts w:ascii="宋体" w:hAnsi="宋体"/>
          <w:sz w:val="22"/>
        </w:rPr>
        <w:t>增加双向换算：同时输出卖出价和买入价，注明适用场景（付汇用卖出 / 收汇用买入）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四、目的港政策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4.1 三个港口实测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港口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关键信息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A-中东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杰贝阿里港 (AEJEA)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免堆7天，超期 USD 85→130/天，UAE Pass 强制，ISPM15 强制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B-非洲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蒙巴萨港 (KEMBA)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免堆10天(箱)/7天(散)，Simba 系统电子报关，21天内结税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C-西非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拉各斯港 (NGLOS)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免堆7天(箱)/3-5天(散)，SONCAP+FORM M 强制，外汇管制严格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4.2 发现缺陷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**同港口多源数据冲突**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蒙巴萨港集装箱免堆期两个来源给出不同数值：sczil.com 说 10 天，另一篇文章称 21 天。差异 11 天。Skill 取第一个结果时可能给出错误政策，导致用户清关规划偏差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**政策时效未标注**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蒙巴萨数据源时间 2025/12，距今 8 个月；杰贝阿里数据源 2026/03，距今 5 个月。港口政策可能已更新，但 Skill 无「政策更新时间」标注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**超期费阶梯复杂**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杰贝阿里 D8-14 是 USD 85/TEU/天，D15+ 是 USD 130/TEU/天；蒙巴萨 D22-30 是 USD 100/天，D31+ 是 USD 200/天。不同港口阶梯不同，Skill 纯文本输出概率遗漏第二档费率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**特殊政策遗漏**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马士基对中东港口提供额外 15 天免堆期（临时政策），这是船公司级别的差异化政策，Skill 未区分「港口标准政策」和「船公司特殊政策」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4.3 建议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多源数据冲突时，输出两个值并标注来源，让用户自行判断（"A来源称10天，B来源称21天，建议以船公司订舱确认为准"）</w:t>
      </w:r>
    </w:p>
    <w:p>
      <w:pPr>
        <w:pStyle w:val="ListBullet"/>
      </w:pPr>
      <w:r>
        <w:rPr>
          <w:rFonts w:ascii="宋体" w:hAnsi="宋体"/>
          <w:sz w:val="22"/>
        </w:rPr>
        <w:t>政策输出末尾标注数据抓取时间（"以上政策截至 2025-12，请以最新港口公告为准"）</w:t>
      </w:r>
    </w:p>
    <w:p>
      <w:pPr>
        <w:pStyle w:val="ListBullet"/>
      </w:pPr>
      <w:r>
        <w:rPr>
          <w:rFonts w:ascii="宋体" w:hAnsi="宋体"/>
          <w:sz w:val="22"/>
        </w:rPr>
        <w:t>超期费输出为完整费率表（含各阶梯），而非仅第一档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五、术语百科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5.1 两类术语实测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A-对比类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FOB / CIF / DDP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丰富，含责任划分表、风险转移节点、费用承担对比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B-冷门类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AMS (Automated Manifest System)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可查到定义，含 24h 预申报规则、适用场景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5.2 发现缺陷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**过时 Incoterms 引用**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搜索结果中百运网文章仍然使用「货物越过船舷」表述，这是 **Incoterms 2010** 的旧定义。Incoterms 2020 已将 FOB/CIF 风险转移改为「货物装上船」（on board the vessel）。Skill 直接引用 web_search 结果时可能输出过时术语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**无缩写歧义处理**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AMS 在货代中有两个含义：Automated Manifest System（美国海关自动舱单系统）和 Airwaybill Manifest System。Skill 仅返回第一个含义，若用户语境是空运，信息完全错误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**术语对比缺运费测算**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FOB vs CIF 对比仅做定性描述（谁付运费、谁买保险），未给出定量参考。用户真正关心的是「用 FOB 比 CIF 省多少」，缺运费+保险费差额测算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5.3 建议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术语解释加入「适用 Incoterms 版本」标注（2020 vs 2010）</w:t>
      </w:r>
    </w:p>
    <w:p>
      <w:pPr>
        <w:pStyle w:val="ListBullet"/>
      </w:pPr>
      <w:r>
        <w:rPr>
          <w:rFonts w:ascii="宋体" w:hAnsi="宋体"/>
          <w:sz w:val="22"/>
        </w:rPr>
        <w:t>多义词（如 AMS）同时列出所有含义，标注适用领域（海运/空运/报关）</w:t>
      </w:r>
    </w:p>
    <w:p>
      <w:pPr>
        <w:pStyle w:val="ListBullet"/>
      </w:pPr>
      <w:r>
        <w:rPr>
          <w:rFonts w:ascii="宋体" w:hAnsi="宋体"/>
          <w:sz w:val="22"/>
        </w:rPr>
        <w:t>FOB vs CIF 对比增加费用测算示例（如上海→汉堡 40HQ：FOB 价 vs CIF 价差额）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综合发现：跨功能系统缺陷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影响范围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**汇率不是实时查询**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运价/汇率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运价查询中的 RMB 换算依赖汇率，但 Skill 用的是 BOC 网页抓取（非 API），周六日汇率可能滞后 2-3 天。若周五晚上汇率跳变，用户周六查到的 RMB 运价是错误的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**输出模板刚性**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SKILL.md 规定了固定输出模板（运价 5 列、追踪 5 列），但实际数据质量因航线/船公司/来源不同而参差。当某列数据缺失时，Skill 行为未定义——是留空、标 N/A、还是直接不输出该行？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**无降级提示**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所有功能在数据不全时均无「数据仅供参考」降级提示。一期测试时 5/5 通过是因为选的都是主流航线+热门港口，一旦切换到冷门场景，数据质量断崖式下降但提示缺失</w:t>
            </w:r>
          </w:p>
        </w:tc>
      </w:tr>
    </w:tbl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缺陷分级汇总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#5（提单追踪形同虚设）、#9（汇率滞后4天）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🟡 中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#1,#2,#3,#6,#7,#10,#11,#13,#14,#17,#18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🟢 低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#4,#8,#12,#15,#16,#19</w:t>
            </w:r>
          </w:p>
        </w:tc>
      </w:tr>
    </w:tbl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一期总体评估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功能覆盖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五大功能均可触发并返回数据，冷门场景有缺口但可接受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数据质量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★★★☆☆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主流航线/港口数据好，小众航线和冷门术语差；汇率滞后问题突出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输出一致性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★★★☆☆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不同来源数据格式参差，输出模板刚性导致信息密度不一致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边界鲁棒性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★★☆☆☆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模糊输入、缩写歧义、多源冲突等边界情况未充分处理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实际可用性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★★★☆☆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核心流程可用，但提单追踪实质不可用，汇率滞后影响运价换算准确性</w:t>
            </w:r>
          </w:p>
        </w:tc>
      </w:tr>
    </w:tbl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总评</w:t>
      </w:r>
      <w:r>
        <w:rPr>
          <w:rFonts w:ascii="宋体" w:hAnsi="宋体"/>
          <w:sz w:val="22"/>
        </w:rPr>
        <w:t>：一期功能骨架完整，主流场景基本可用。但有两个 🔴 致命缺陷必须修复（提单追踪链路和汇率滞后的时效声明），以及若干个 🟡 中等问题影响用户体验。建议在二期开发前先修复一期高优缺陷，避免技术债堆积。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r>
        <w:rPr>
          <w:rFonts w:ascii="宋体" w:hAnsi="宋体"/>
          <w:sz w:val="22"/>
        </w:rPr>
        <w:t>*以上为多角度缺陷测试结论，每个缺陷均附实测数据来源。*</w:t>
      </w:r>
    </w:p>
    <w:p>
      <w:pPr>
        <w:spacing w:after="80"/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1c25280e92f611f18e22525400f8a581","ReservedCode1":"h+oVR8X1sxDHxVBSjYAAUVy6FY6liNKM+HPNC/0JjExNqEf4md1gSsZoIU/Q5CXW6jmutqGULHeBMHQ39OyS8ph6oeKB2G4UWWNpMPz5DPQE8H3KHJuq8bzw60Tp95GB9q6jLdcf80yvpHoPd01Hpfof409QuNqWRwmqA9jQ3FK9yzjVrKxK5Sxe2IY=","ContentPropagator":"001191440300708461136T1XGW3","PropagateID":"5cb1b25772f6b0aafa9bcb1a8e5ab88d_1c25280e92f611f18e22525400f8a581","ReservedCode2":"h+oVR8X1sxDHxVBSjYAAUVy6FY6liNKM+HPNC/0JjExNqEf4md1gSsZoIU/Q5CXW6jmutqGULHeBMHQ39OyS8ph6oeKB2G4UWWNpMPz5DPQE8H3KHJuq8bzw60Tp95GB9q6jLdcf80yvpHoPd01Hpfof409QuNqWRwmqA9jQ3FK9yzjVrKxK5Sxe2IY="}</vt:lpwstr>
  </property>
</Properties>
</file>