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AE31" w14:textId="77777777" w:rsidR="00DF19B0" w:rsidRDefault="00DF19B0" w:rsidP="00DF19B0">
      <w:pPr>
        <w:jc w:val="right"/>
      </w:pPr>
      <w:r>
        <w:rPr>
          <w:rFonts w:hint="eastAsia"/>
        </w:rPr>
        <w:t>〔＊受験番号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8"/>
        <w:gridCol w:w="5326"/>
      </w:tblGrid>
      <w:tr w:rsidR="00DF19B0" w14:paraId="2BC880AB" w14:textId="77777777" w:rsidTr="00325AEB">
        <w:tc>
          <w:tcPr>
            <w:tcW w:w="10402" w:type="dxa"/>
            <w:gridSpan w:val="2"/>
          </w:tcPr>
          <w:p w14:paraId="75E45F65" w14:textId="77777777" w:rsidR="00AD41E0" w:rsidRPr="00AD41E0" w:rsidRDefault="00DF19B0" w:rsidP="00AD41E0">
            <w:pPr>
              <w:jc w:val="center"/>
              <w:rPr>
                <w:rFonts w:ascii="ＭＳ 明朝" w:hAnsi="ＭＳ 明朝"/>
                <w:sz w:val="24"/>
              </w:rPr>
            </w:pPr>
            <w:r w:rsidRPr="00AD41E0">
              <w:rPr>
                <w:rFonts w:ascii="ＭＳ 明朝" w:hAnsi="ＭＳ 明朝" w:hint="eastAsia"/>
                <w:sz w:val="24"/>
              </w:rPr>
              <w:t>日本福祉大学大学院社会福祉学研究科社会福祉学専攻</w:t>
            </w:r>
            <w:r w:rsidR="00EC2B8E" w:rsidRPr="00AD41E0">
              <w:rPr>
                <w:rFonts w:ascii="ＭＳ 明朝" w:hAnsi="ＭＳ 明朝" w:hint="eastAsia"/>
                <w:sz w:val="24"/>
              </w:rPr>
              <w:t>修士課程</w:t>
            </w:r>
            <w:r w:rsidRPr="00AD41E0">
              <w:rPr>
                <w:rFonts w:ascii="ＭＳ 明朝" w:hAnsi="ＭＳ 明朝" w:hint="eastAsia"/>
                <w:sz w:val="24"/>
              </w:rPr>
              <w:t>(通信教育)</w:t>
            </w:r>
          </w:p>
          <w:p w14:paraId="552C9E7A" w14:textId="77777777" w:rsidR="00DF19B0" w:rsidRPr="00E31166" w:rsidRDefault="00DF19B0" w:rsidP="00AD41E0">
            <w:pPr>
              <w:jc w:val="center"/>
              <w:rPr>
                <w:rFonts w:ascii="ＭＳ ゴシック" w:eastAsia="ＭＳ ゴシック" w:hAnsi="ＭＳ ゴシック"/>
                <w:szCs w:val="21"/>
              </w:rPr>
            </w:pPr>
            <w:r w:rsidRPr="00E31166">
              <w:rPr>
                <w:rFonts w:ascii="ＭＳ ゴシック" w:eastAsia="ＭＳ ゴシック" w:hAnsi="ＭＳ ゴシック" w:hint="eastAsia"/>
                <w:sz w:val="32"/>
                <w:szCs w:val="32"/>
              </w:rPr>
              <w:t>研究計画書</w:t>
            </w:r>
          </w:p>
        </w:tc>
      </w:tr>
      <w:tr w:rsidR="00DF19B0" w14:paraId="56EBFC51" w14:textId="77777777" w:rsidTr="0085799A">
        <w:trPr>
          <w:trHeight w:val="907"/>
        </w:trPr>
        <w:tc>
          <w:tcPr>
            <w:tcW w:w="4968" w:type="dxa"/>
            <w:vAlign w:val="center"/>
          </w:tcPr>
          <w:p w14:paraId="45FCEB80" w14:textId="6F68118F" w:rsidR="00DF19B0" w:rsidRPr="00325AEB" w:rsidRDefault="00DF19B0" w:rsidP="0085799A">
            <w:pPr>
              <w:rPr>
                <w:sz w:val="20"/>
                <w:szCs w:val="20"/>
              </w:rPr>
            </w:pPr>
            <w:r w:rsidRPr="00325AEB">
              <w:rPr>
                <w:rFonts w:hint="eastAsia"/>
                <w:sz w:val="20"/>
                <w:szCs w:val="20"/>
              </w:rPr>
              <w:t>（ふりがな）</w:t>
            </w:r>
            <w:r w:rsidR="00024DEA">
              <w:rPr>
                <w:rFonts w:hint="eastAsia"/>
                <w:sz w:val="20"/>
                <w:szCs w:val="20"/>
              </w:rPr>
              <w:t>やまうち　ゆうじ</w:t>
            </w:r>
          </w:p>
          <w:p w14:paraId="12E35D01" w14:textId="7B591321" w:rsidR="00DF19B0" w:rsidRPr="00325AEB" w:rsidRDefault="00DF19B0" w:rsidP="0085799A">
            <w:pPr>
              <w:ind w:firstLineChars="100" w:firstLine="210"/>
              <w:rPr>
                <w:rFonts w:hint="eastAsia"/>
                <w:szCs w:val="21"/>
              </w:rPr>
            </w:pPr>
            <w:r w:rsidRPr="00325AEB">
              <w:rPr>
                <w:rFonts w:hint="eastAsia"/>
                <w:szCs w:val="21"/>
              </w:rPr>
              <w:t>氏　名</w:t>
            </w:r>
            <w:r w:rsidR="001F6D9A">
              <w:rPr>
                <w:rFonts w:hint="eastAsia"/>
                <w:szCs w:val="21"/>
              </w:rPr>
              <w:t xml:space="preserve">　</w:t>
            </w:r>
            <w:r w:rsidR="00024DEA">
              <w:rPr>
                <w:rFonts w:hint="eastAsia"/>
                <w:szCs w:val="21"/>
              </w:rPr>
              <w:t xml:space="preserve">　　山内　</w:t>
            </w:r>
            <w:r w:rsidR="00024DEA">
              <w:rPr>
                <w:rFonts w:hint="eastAsia"/>
                <w:szCs w:val="21"/>
              </w:rPr>
              <w:t xml:space="preserve"> </w:t>
            </w:r>
            <w:r w:rsidR="00024DEA">
              <w:rPr>
                <w:rFonts w:hint="eastAsia"/>
                <w:szCs w:val="21"/>
              </w:rPr>
              <w:t>雄司</w:t>
            </w:r>
          </w:p>
        </w:tc>
        <w:tc>
          <w:tcPr>
            <w:tcW w:w="5434" w:type="dxa"/>
            <w:vAlign w:val="center"/>
          </w:tcPr>
          <w:p w14:paraId="37739820" w14:textId="29C9ADC4" w:rsidR="00DF19B0" w:rsidRDefault="00DF19B0" w:rsidP="00325AEB">
            <w:pPr>
              <w:ind w:firstLineChars="100" w:firstLine="210"/>
            </w:pPr>
            <w:r>
              <w:rPr>
                <w:rFonts w:hint="eastAsia"/>
              </w:rPr>
              <w:t>出願の種類</w:t>
            </w:r>
            <w:r w:rsidR="004A6C13" w:rsidRPr="00325AEB">
              <w:rPr>
                <w:rFonts w:ascii="ＭＳ 明朝" w:hAnsi="ＭＳ 明朝" w:hint="eastAsia"/>
                <w:sz w:val="20"/>
                <w:szCs w:val="20"/>
              </w:rPr>
              <w:t>（番号を○で囲む）</w:t>
            </w:r>
          </w:p>
          <w:p w14:paraId="689FD645" w14:textId="391C1112" w:rsidR="00DF19B0" w:rsidRPr="00DF19B0" w:rsidRDefault="00024DEA" w:rsidP="00325AEB">
            <w:pPr>
              <w:ind w:firstLineChars="100" w:firstLine="210"/>
            </w:pPr>
            <w:r>
              <w:rPr>
                <w:rFonts w:hint="eastAsia"/>
                <w:noProof/>
              </w:rPr>
              <mc:AlternateContent>
                <mc:Choice Requires="wps">
                  <w:drawing>
                    <wp:anchor distT="0" distB="0" distL="114300" distR="114300" simplePos="0" relativeHeight="251659264" behindDoc="0" locked="0" layoutInCell="1" allowOverlap="1" wp14:anchorId="1F0756C0" wp14:editId="33DBCB15">
                      <wp:simplePos x="0" y="0"/>
                      <wp:positionH relativeFrom="column">
                        <wp:posOffset>1042035</wp:posOffset>
                      </wp:positionH>
                      <wp:positionV relativeFrom="paragraph">
                        <wp:posOffset>4445</wp:posOffset>
                      </wp:positionV>
                      <wp:extent cx="190500" cy="171450"/>
                      <wp:effectExtent l="0" t="0" r="19050" b="19050"/>
                      <wp:wrapNone/>
                      <wp:docPr id="1750787681" name="楕円 1"/>
                      <wp:cNvGraphicFramePr/>
                      <a:graphic xmlns:a="http://schemas.openxmlformats.org/drawingml/2006/main">
                        <a:graphicData uri="http://schemas.microsoft.com/office/word/2010/wordprocessingShape">
                          <wps:wsp>
                            <wps:cNvSpPr/>
                            <wps:spPr>
                              <a:xfrm>
                                <a:off x="0" y="0"/>
                                <a:ext cx="190500" cy="17145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2DDC1A" id="楕円 1" o:spid="_x0000_s1026" style="position:absolute;margin-left:82.05pt;margin-top:.35pt;width:1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" filled="f" strokecolor="black [3213]" strokeweight="1pt">
                      <v:stroke joinstyle="miter"/>
                    </v:oval>
                  </w:pict>
                </mc:Fallback>
              </mc:AlternateContent>
            </w:r>
            <w:r w:rsidR="00DF19B0">
              <w:rPr>
                <w:rFonts w:hint="eastAsia"/>
              </w:rPr>
              <w:t>１．一般　　　２．社会人</w:t>
            </w:r>
          </w:p>
        </w:tc>
      </w:tr>
      <w:tr w:rsidR="00DF19B0" w14:paraId="73023A6C" w14:textId="77777777" w:rsidTr="0085799A">
        <w:trPr>
          <w:trHeight w:val="907"/>
        </w:trPr>
        <w:tc>
          <w:tcPr>
            <w:tcW w:w="10402" w:type="dxa"/>
            <w:gridSpan w:val="2"/>
          </w:tcPr>
          <w:p w14:paraId="363B94CE" w14:textId="77777777" w:rsidR="00DF19B0" w:rsidRPr="00E333FA" w:rsidRDefault="00DF19B0" w:rsidP="00325AEB">
            <w:pPr>
              <w:ind w:firstLineChars="100" w:firstLine="210"/>
              <w:rPr>
                <w:rFonts w:ascii="ＭＳ 明朝" w:hAnsi="ＭＳ 明朝"/>
              </w:rPr>
            </w:pPr>
            <w:r w:rsidRPr="00E333FA">
              <w:rPr>
                <w:rFonts w:ascii="ＭＳ 明朝" w:hAnsi="ＭＳ 明朝" w:hint="eastAsia"/>
              </w:rPr>
              <w:t>研究の主題名（30字以内で記入すること。）</w:t>
            </w:r>
          </w:p>
          <w:p w14:paraId="26C87376" w14:textId="48F1BB49" w:rsidR="00DF19B0" w:rsidRPr="007D6E8A" w:rsidRDefault="007D6E8A" w:rsidP="007D6E8A">
            <w:pPr>
              <w:ind w:leftChars="100" w:left="210" w:firstLineChars="100" w:firstLine="210"/>
              <w:rPr>
                <w:rFonts w:ascii="ＭＳ 明朝" w:hAnsi="ＭＳ 明朝" w:hint="eastAsia"/>
              </w:rPr>
            </w:pPr>
            <w:r>
              <w:rPr>
                <w:rFonts w:ascii="ＭＳ 明朝" w:hAnsi="ＭＳ 明朝" w:hint="eastAsia"/>
              </w:rPr>
              <w:t>就労移行支援におけるアセスメント構造の再構築</w:t>
            </w:r>
          </w:p>
        </w:tc>
      </w:tr>
      <w:tr w:rsidR="00DF19B0" w14:paraId="3E871B75" w14:textId="77777777" w:rsidTr="0085799A">
        <w:trPr>
          <w:trHeight w:val="10942"/>
        </w:trPr>
        <w:tc>
          <w:tcPr>
            <w:tcW w:w="10402" w:type="dxa"/>
            <w:gridSpan w:val="2"/>
          </w:tcPr>
          <w:p w14:paraId="37884928" w14:textId="120AA525" w:rsidR="00DF19B0" w:rsidRPr="00BE6121" w:rsidRDefault="00DF19B0" w:rsidP="00564126">
            <w:pPr>
              <w:ind w:leftChars="50" w:left="105"/>
              <w:rPr>
                <w:rFonts w:asciiTheme="minorEastAsia" w:eastAsiaTheme="minorEastAsia" w:hAnsiTheme="minorEastAsia"/>
                <w:spacing w:val="-4"/>
                <w:position w:val="-2"/>
                <w:szCs w:val="21"/>
              </w:rPr>
            </w:pPr>
            <w:r w:rsidRPr="00BE6121">
              <w:rPr>
                <w:rFonts w:asciiTheme="minorEastAsia" w:eastAsiaTheme="minorEastAsia" w:hAnsiTheme="minorEastAsia" w:hint="eastAsia"/>
                <w:spacing w:val="-4"/>
                <w:position w:val="-2"/>
                <w:szCs w:val="21"/>
              </w:rPr>
              <w:t>研究計画書の概要</w:t>
            </w:r>
          </w:p>
          <w:p w14:paraId="56E72C89" w14:textId="77777777" w:rsidR="00024DEA" w:rsidRPr="003B5B3B" w:rsidRDefault="00024DEA" w:rsidP="00024DEA">
            <w:pPr>
              <w:rPr>
                <w:b/>
                <w:bCs/>
              </w:rPr>
            </w:pPr>
            <w:r w:rsidRPr="003B5B3B">
              <w:rPr>
                <w:b/>
                <w:bCs/>
              </w:rPr>
              <w:t xml:space="preserve">1. </w:t>
            </w:r>
            <w:r w:rsidRPr="003B5B3B">
              <w:rPr>
                <w:b/>
                <w:bCs/>
              </w:rPr>
              <w:t>研究目的</w:t>
            </w:r>
          </w:p>
          <w:p w14:paraId="7DA4762E" w14:textId="77777777" w:rsidR="00024DEA" w:rsidRDefault="00024DEA" w:rsidP="007D6E8A">
            <w:pPr>
              <w:ind w:leftChars="100" w:left="210"/>
            </w:pPr>
            <w:r w:rsidRPr="003B5B3B">
              <w:t>本研究は、就労移行支援における当事者のアセスメント手法の構造的課題を明らかにし、累積環境因子と複式簿記メタファーを統合した新たな自己理解支援フレームワークを構築することを目的とする。</w:t>
            </w:r>
          </w:p>
          <w:p w14:paraId="0299E4A6" w14:textId="77777777" w:rsidR="00024DEA" w:rsidRDefault="00024DEA" w:rsidP="007D6E8A">
            <w:pPr>
              <w:ind w:leftChars="100" w:left="210"/>
            </w:pPr>
            <w:r w:rsidRPr="003B5B3B">
              <w:t>累積環境因子とは、</w:t>
            </w:r>
            <w:r w:rsidRPr="003B5B3B">
              <w:t>ICF</w:t>
            </w:r>
            <w:r w:rsidRPr="003B5B3B">
              <w:t>（国際生活機能分類）における環境因子を時間軸で拡張した操作的概念であり、小児期・児童期・青年期を通じて蓄積された家庭・教育・地域等の環境的影響を指す。</w:t>
            </w:r>
          </w:p>
          <w:p w14:paraId="68EB9F25" w14:textId="44F0917A" w:rsidR="00024DEA" w:rsidRPr="003B5B3B" w:rsidRDefault="00024DEA" w:rsidP="007D6E8A">
            <w:pPr>
              <w:ind w:leftChars="100" w:left="210"/>
            </w:pPr>
            <w:r w:rsidRPr="003B5B3B">
              <w:t>複式簿記メタファーとは、会計学における損益計算書（</w:t>
            </w:r>
            <w:r w:rsidRPr="003B5B3B">
              <w:t>PL</w:t>
            </w:r>
            <w:r w:rsidRPr="003B5B3B">
              <w:t>）・貸借対照表（</w:t>
            </w:r>
            <w:r w:rsidRPr="003B5B3B">
              <w:t>BS</w:t>
            </w:r>
            <w:r w:rsidRPr="003B5B3B">
              <w:t>）の構造を、当事者の人生理解に援用する概念枠組みである。具体的には、</w:t>
            </w:r>
            <w:r w:rsidRPr="003B5B3B">
              <w:t>BS</w:t>
            </w:r>
            <w:r w:rsidRPr="003B5B3B">
              <w:t>は現時点での能力とその源泉、</w:t>
            </w:r>
            <w:r w:rsidRPr="003B5B3B">
              <w:t>PL</w:t>
            </w:r>
            <w:r w:rsidRPr="003B5B3B">
              <w:t>は各発達段階（児童期</w:t>
            </w:r>
            <w:r w:rsidRPr="003B5B3B">
              <w:t>6</w:t>
            </w:r>
            <w:r w:rsidRPr="003B5B3B">
              <w:t>年、中学・高校各</w:t>
            </w:r>
            <w:r w:rsidRPr="003B5B3B">
              <w:t>3</w:t>
            </w:r>
            <w:r w:rsidRPr="003B5B3B">
              <w:t>年、以降は</w:t>
            </w:r>
            <w:r w:rsidRPr="003B5B3B">
              <w:t>1</w:t>
            </w:r>
            <w:r w:rsidRPr="003B5B3B">
              <w:t>年ごと）における経験の収支の流れとして概念化する。本研究は理論構築を主目的とし、修士段階では探索的な検討に焦点を当てる。具体的には、以下の</w:t>
            </w:r>
            <w:r w:rsidRPr="003B5B3B">
              <w:t>2</w:t>
            </w:r>
            <w:r w:rsidRPr="003B5B3B">
              <w:t>点を目的とする。</w:t>
            </w:r>
          </w:p>
          <w:p w14:paraId="3245462E" w14:textId="77777777" w:rsidR="00024DEA" w:rsidRPr="003B5B3B" w:rsidRDefault="00024DEA" w:rsidP="00CF6F7A">
            <w:pPr>
              <w:ind w:firstLineChars="200" w:firstLine="422"/>
            </w:pPr>
            <w:r w:rsidRPr="003B5B3B">
              <w:rPr>
                <w:b/>
                <w:bCs/>
              </w:rPr>
              <w:t>目的</w:t>
            </w:r>
            <w:r w:rsidRPr="003B5B3B">
              <w:rPr>
                <w:b/>
                <w:bCs/>
              </w:rPr>
              <w:t>①</w:t>
            </w:r>
            <w:r w:rsidRPr="003B5B3B">
              <w:rPr>
                <w:b/>
                <w:bCs/>
              </w:rPr>
              <w:t>：累積環境因子が職業準備性に与える影響構造の探索的解明</w:t>
            </w:r>
          </w:p>
          <w:p w14:paraId="26A2103B" w14:textId="77777777" w:rsidR="00024DEA" w:rsidRPr="003B5B3B" w:rsidRDefault="00024DEA" w:rsidP="00CF6F7A">
            <w:pPr>
              <w:ind w:leftChars="300" w:left="630"/>
            </w:pPr>
            <w:r w:rsidRPr="003B5B3B">
              <w:t>小児期逆境体験（</w:t>
            </w:r>
            <w:r>
              <w:rPr>
                <w:rFonts w:hint="eastAsia"/>
              </w:rPr>
              <w:t>以下、</w:t>
            </w:r>
            <w:r w:rsidRPr="003B5B3B">
              <w:t>ACEs</w:t>
            </w:r>
            <w:r w:rsidRPr="003B5B3B">
              <w:t>）等の累積不利が、成人期の認知・感情・行動様式を経て、職業準備性に影響する因果構造を探索的に整理する。</w:t>
            </w:r>
          </w:p>
          <w:p w14:paraId="32555FC8" w14:textId="5E784BA1" w:rsidR="00024DEA" w:rsidRPr="003B5B3B" w:rsidRDefault="00024DEA" w:rsidP="00CF6F7A">
            <w:pPr>
              <w:ind w:firstLineChars="200" w:firstLine="422"/>
            </w:pPr>
            <w:r w:rsidRPr="003B5B3B">
              <w:rPr>
                <w:b/>
                <w:bCs/>
              </w:rPr>
              <w:t>目的</w:t>
            </w:r>
            <w:r w:rsidRPr="003B5B3B">
              <w:rPr>
                <w:b/>
                <w:bCs/>
              </w:rPr>
              <w:t>②</w:t>
            </w:r>
            <w:r w:rsidRPr="003B5B3B">
              <w:rPr>
                <w:b/>
                <w:bCs/>
              </w:rPr>
              <w:t>：複式簿記メタファー（以下、</w:t>
            </w:r>
            <w:r w:rsidR="00033530">
              <w:rPr>
                <w:rFonts w:hint="eastAsia"/>
                <w:b/>
                <w:bCs/>
              </w:rPr>
              <w:t>DB-M</w:t>
            </w:r>
            <w:r w:rsidRPr="003B5B3B">
              <w:rPr>
                <w:b/>
                <w:bCs/>
              </w:rPr>
              <w:t>）を用いた自己理解支援フレームワークの理論的考察</w:t>
            </w:r>
          </w:p>
          <w:p w14:paraId="3FAED5B5" w14:textId="73603B50" w:rsidR="00024DEA" w:rsidRPr="003B5B3B" w:rsidRDefault="00024DEA" w:rsidP="00CF6F7A">
            <w:pPr>
              <w:ind w:leftChars="300" w:left="630"/>
            </w:pPr>
            <w:r w:rsidRPr="003B5B3B">
              <w:t>当事者が過去から現在の自己理解を深め、「自分のストーリーを自分の言葉で語れる状態」に至るプロセスを理論的に考察する。</w:t>
            </w:r>
            <w:r>
              <w:pict w14:anchorId="560633B9">
                <v:rect id="_x0000_i1072" style="width:0;height:1.5pt" o:hralign="center" o:hrstd="t" o:hr="t" fillcolor="#a0a0a0" stroked="f">
                  <v:textbox inset="5.85pt,.7pt,5.85pt,.7pt"/>
                </v:rect>
              </w:pict>
            </w:r>
          </w:p>
          <w:p w14:paraId="31496755" w14:textId="77777777" w:rsidR="00024DEA" w:rsidRPr="003B5B3B" w:rsidRDefault="00024DEA" w:rsidP="00024DEA">
            <w:pPr>
              <w:rPr>
                <w:b/>
                <w:bCs/>
              </w:rPr>
            </w:pPr>
            <w:r w:rsidRPr="003B5B3B">
              <w:rPr>
                <w:b/>
                <w:bCs/>
              </w:rPr>
              <w:t xml:space="preserve">2. </w:t>
            </w:r>
            <w:r w:rsidRPr="003B5B3B">
              <w:rPr>
                <w:b/>
                <w:bCs/>
              </w:rPr>
              <w:t>研究の背景</w:t>
            </w:r>
          </w:p>
          <w:p w14:paraId="680DF4E7" w14:textId="77777777" w:rsidR="00024DEA" w:rsidRPr="003B5B3B" w:rsidRDefault="00024DEA" w:rsidP="00024DEA">
            <w:pPr>
              <w:rPr>
                <w:b/>
                <w:bCs/>
              </w:rPr>
            </w:pPr>
            <w:r w:rsidRPr="003B5B3B">
              <w:rPr>
                <w:b/>
                <w:bCs/>
              </w:rPr>
              <w:t xml:space="preserve">2.1 </w:t>
            </w:r>
            <w:r w:rsidRPr="003B5B3B">
              <w:rPr>
                <w:b/>
                <w:bCs/>
              </w:rPr>
              <w:t>日本の就労移行支援の現状と課題</w:t>
            </w:r>
          </w:p>
          <w:p w14:paraId="7A7937A1" w14:textId="77777777" w:rsidR="00024DEA" w:rsidRPr="003B5B3B" w:rsidRDefault="00024DEA" w:rsidP="007D6E8A">
            <w:pPr>
              <w:ind w:leftChars="100" w:left="210"/>
            </w:pPr>
            <w:r w:rsidRPr="003B5B3B">
              <w:t>就労移行支援のアセスメントは、利用者の生活目標や働き方の希望を把握し、必要な支援を構築するための基盤である。しかし現場のアセスメントは、職業準備性という言葉にまとめた「個人因子」に偏りがちであり、本人の努力や能力の問題として捉えられやすい構造的課題を抱えている。</w:t>
            </w:r>
          </w:p>
          <w:p w14:paraId="1C0AA190" w14:textId="4FD6F754" w:rsidR="00024DEA" w:rsidRPr="003B5B3B" w:rsidRDefault="00024DEA" w:rsidP="007D6E8A">
            <w:pPr>
              <w:ind w:leftChars="100" w:left="210"/>
            </w:pPr>
            <w:r w:rsidRPr="003B5B3B">
              <w:t>就労移行支援は制度上「訓練等給付</w:t>
            </w:r>
            <w:r>
              <w:rPr>
                <w:rFonts w:hint="eastAsia"/>
              </w:rPr>
              <w:t>費</w:t>
            </w:r>
            <w:r w:rsidRPr="003B5B3B">
              <w:t>」に位置づけられており、本人の能力向上を前提とした設計となっている。しかし現場運用は個人因子の観察と評価に依存しており、本人を取り巻く環境的要因や、過去から蓄積された不利な条件が十分に考慮されていない。私は就労支援に</w:t>
            </w:r>
            <w:r w:rsidRPr="003B5B3B">
              <w:t>10</w:t>
            </w:r>
            <w:r w:rsidRPr="003B5B3B">
              <w:t>年以上携わる中で、</w:t>
            </w:r>
            <w:r w:rsidRPr="003B5B3B">
              <w:t>ACEs</w:t>
            </w:r>
            <w:r>
              <w:rPr>
                <w:rFonts w:hint="eastAsia"/>
              </w:rPr>
              <w:t>や</w:t>
            </w:r>
            <w:r w:rsidRPr="003B5B3B">
              <w:t>教育機会の欠落など、「過去から累積した環境因子」が成人期の意思決定能力や職業準備性に影響していることを強く実感した。本研究では、こうした個人的経験を一般化するため、文献研究および匿名化された二次資料の分析を通じて学術的検討を行う。</w:t>
            </w:r>
          </w:p>
          <w:p w14:paraId="5EE4CF20" w14:textId="77777777" w:rsidR="00024DEA" w:rsidRPr="003B5B3B" w:rsidRDefault="00024DEA" w:rsidP="00024DEA">
            <w:pPr>
              <w:rPr>
                <w:b/>
                <w:bCs/>
              </w:rPr>
            </w:pPr>
            <w:r w:rsidRPr="003B5B3B">
              <w:rPr>
                <w:b/>
                <w:bCs/>
              </w:rPr>
              <w:t xml:space="preserve">2.2 </w:t>
            </w:r>
            <w:r w:rsidRPr="003B5B3B">
              <w:rPr>
                <w:b/>
                <w:bCs/>
              </w:rPr>
              <w:t>先行研究の検討</w:t>
            </w:r>
          </w:p>
          <w:p w14:paraId="0AEAF936" w14:textId="77777777" w:rsidR="00024DEA" w:rsidRPr="003B5B3B" w:rsidRDefault="00024DEA" w:rsidP="00024DEA">
            <w:r w:rsidRPr="003B5B3B">
              <w:t>本研究は以下の理論的枠組みを基盤とする。</w:t>
            </w:r>
          </w:p>
          <w:p w14:paraId="5C041F87" w14:textId="2B716775" w:rsidR="00024DEA" w:rsidRPr="003B5B3B" w:rsidRDefault="00024DEA" w:rsidP="00033530">
            <w:pPr>
              <w:pStyle w:val="a7"/>
              <w:numPr>
                <w:ilvl w:val="0"/>
                <w:numId w:val="2"/>
              </w:numPr>
              <w:ind w:leftChars="0"/>
            </w:pPr>
            <w:r w:rsidRPr="00033530">
              <w:rPr>
                <w:b/>
                <w:bCs/>
                <w:color w:val="EE0000"/>
                <w:u w:val="single"/>
              </w:rPr>
              <w:t>ケイパビリティアプローチ</w:t>
            </w:r>
            <w:r w:rsidR="00033530">
              <w:rPr>
                <w:rFonts w:hint="eastAsia"/>
                <w:b/>
                <w:bCs/>
              </w:rPr>
              <w:t xml:space="preserve">　</w:t>
            </w:r>
            <w:r w:rsidRPr="003B5B3B">
              <w:t>個人の「機能」ではなく「何ができるか」という潜在能力に着目する。本研究はこの視点を援用し、累積環境因子が潜在能力の発揮を阻害する構造を検討する。</w:t>
            </w:r>
          </w:p>
          <w:p w14:paraId="4A1C4CD8" w14:textId="1576EB68" w:rsidR="00024DEA" w:rsidRPr="003B5B3B" w:rsidRDefault="00024DEA" w:rsidP="00033530">
            <w:pPr>
              <w:pStyle w:val="a7"/>
              <w:numPr>
                <w:ilvl w:val="0"/>
                <w:numId w:val="2"/>
              </w:numPr>
              <w:ind w:leftChars="0"/>
            </w:pPr>
            <w:r w:rsidRPr="00033530">
              <w:rPr>
                <w:b/>
                <w:bCs/>
                <w:color w:val="EE0000"/>
                <w:u w:val="single"/>
              </w:rPr>
              <w:t>ACEs</w:t>
            </w:r>
            <w:r w:rsidRPr="00033530">
              <w:rPr>
                <w:b/>
                <w:bCs/>
                <w:color w:val="EE0000"/>
                <w:u w:val="single"/>
              </w:rPr>
              <w:t>研究</w:t>
            </w:r>
            <w:r w:rsidRPr="003B5B3B">
              <w:t xml:space="preserve"> </w:t>
            </w:r>
            <w:r w:rsidR="00033530">
              <w:rPr>
                <w:rFonts w:hint="eastAsia"/>
              </w:rPr>
              <w:t xml:space="preserve">　</w:t>
            </w:r>
            <w:r w:rsidRPr="003B5B3B">
              <w:t>ACEs</w:t>
            </w:r>
            <w:r w:rsidRPr="003B5B3B">
              <w:t>は成人期の健康・社会適応に長期的影響を与えることを実証した。ただし就労支援への応用は国際的にも発展途上である。</w:t>
            </w:r>
          </w:p>
          <w:p w14:paraId="777A7FC4" w14:textId="3330F53C" w:rsidR="00024DEA" w:rsidRPr="003B5B3B" w:rsidRDefault="00024DEA" w:rsidP="00033530">
            <w:pPr>
              <w:pStyle w:val="a7"/>
              <w:numPr>
                <w:ilvl w:val="0"/>
                <w:numId w:val="2"/>
              </w:numPr>
              <w:ind w:leftChars="0"/>
            </w:pPr>
            <w:r w:rsidRPr="00033530">
              <w:rPr>
                <w:b/>
                <w:bCs/>
                <w:color w:val="EE0000"/>
                <w:u w:val="single"/>
              </w:rPr>
              <w:lastRenderedPageBreak/>
              <w:t>ナラティブアプローチ</w:t>
            </w:r>
            <w:r w:rsidR="00033530" w:rsidRPr="00033530">
              <w:rPr>
                <w:rFonts w:hint="eastAsia"/>
                <w:b/>
                <w:bCs/>
                <w:color w:val="EE0000"/>
              </w:rPr>
              <w:t xml:space="preserve">　</w:t>
            </w:r>
            <w:r w:rsidRPr="003B5B3B">
              <w:t>当事者の「語り」を重視し、人生経験の意味づけを支援する手法である。本研究はこの視点を基盤としつつ、構造的可視化による補完を試みる。</w:t>
            </w:r>
          </w:p>
          <w:p w14:paraId="44211ACE" w14:textId="3EA6DC1A" w:rsidR="00024DEA" w:rsidRDefault="00024DEA" w:rsidP="00033530">
            <w:pPr>
              <w:pStyle w:val="a7"/>
              <w:numPr>
                <w:ilvl w:val="0"/>
                <w:numId w:val="2"/>
              </w:numPr>
              <w:ind w:leftChars="0"/>
            </w:pPr>
            <w:r w:rsidRPr="00033530">
              <w:rPr>
                <w:b/>
                <w:bCs/>
                <w:color w:val="EE0000"/>
                <w:u w:val="single"/>
              </w:rPr>
              <w:t>ストレングスモデル</w:t>
            </w:r>
            <w:r w:rsidRPr="003B5B3B">
              <w:t xml:space="preserve"> </w:t>
            </w:r>
            <w:r w:rsidRPr="003B5B3B">
              <w:t>個人の「強み」に焦点を当て、問題ではなく可能性を起点とする支援モデルである。本研究はこれらを活用しつつ、累積不利の時間軸を統合する。</w:t>
            </w:r>
          </w:p>
          <w:p w14:paraId="4923BC11" w14:textId="77777777" w:rsidR="00024DEA" w:rsidRPr="003B5B3B" w:rsidRDefault="00024DEA" w:rsidP="00024DEA">
            <w:pPr>
              <w:rPr>
                <w:b/>
                <w:bCs/>
              </w:rPr>
            </w:pPr>
            <w:r w:rsidRPr="003B5B3B">
              <w:rPr>
                <w:b/>
                <w:bCs/>
              </w:rPr>
              <w:t xml:space="preserve">2.3 </w:t>
            </w:r>
            <w:r w:rsidRPr="003B5B3B">
              <w:rPr>
                <w:b/>
                <w:bCs/>
              </w:rPr>
              <w:t>本研究の位置づけ</w:t>
            </w:r>
          </w:p>
          <w:p w14:paraId="4AE37DCA" w14:textId="0D6DD63D" w:rsidR="00024DEA" w:rsidRPr="003B5B3B" w:rsidRDefault="00024DEA" w:rsidP="007D6E8A">
            <w:pPr>
              <w:ind w:leftChars="100" w:left="210"/>
            </w:pPr>
            <w:r w:rsidRPr="003B5B3B">
              <w:t>就労は単なる雇用契約ではなく、役割獲得を含む「社会接続プロセス」である。本研究の国際的視座として、障害者雇用推進の国際ビジネスネットワークである</w:t>
            </w:r>
            <w:r w:rsidRPr="003B5B3B">
              <w:t>Business Disability International</w:t>
            </w:r>
            <w:r w:rsidRPr="003B5B3B">
              <w:t>（</w:t>
            </w:r>
            <w:r w:rsidRPr="003B5B3B">
              <w:t>BDI</w:t>
            </w:r>
            <w:r w:rsidRPr="003B5B3B">
              <w:t>）の理念に着目する。同理念では、「支援者だけでなく雇用主も低い期待を持っている」といった課題が国際的に指摘されている。日本の就労移行支援は制度改革が進む一方、アセスメント構造に関する実証研究はほとんど存在せず、研究者・実務者双方から求められている領域である。</w:t>
            </w:r>
          </w:p>
          <w:p w14:paraId="145D8F6B" w14:textId="4B2BDB00" w:rsidR="00024DEA" w:rsidRPr="003B5B3B" w:rsidRDefault="00024DEA" w:rsidP="00024DEA">
            <w:r>
              <w:pict w14:anchorId="6935AC9C">
                <v:rect id="_x0000_i1075" style="width:0;height:1.5pt" o:hralign="center" o:hrstd="t" o:hr="t" fillcolor="#a0a0a0" stroked="f">
                  <v:textbox inset="5.85pt,.7pt,5.85pt,.7pt"/>
                </v:rect>
              </w:pict>
            </w:r>
          </w:p>
          <w:p w14:paraId="6453B7F6" w14:textId="77777777" w:rsidR="00024DEA" w:rsidRPr="003B5B3B" w:rsidRDefault="00024DEA" w:rsidP="00024DEA">
            <w:pPr>
              <w:rPr>
                <w:b/>
                <w:bCs/>
              </w:rPr>
            </w:pPr>
            <w:r w:rsidRPr="003B5B3B">
              <w:rPr>
                <w:b/>
                <w:bCs/>
              </w:rPr>
              <w:t xml:space="preserve">3. </w:t>
            </w:r>
            <w:r w:rsidRPr="003B5B3B">
              <w:rPr>
                <w:b/>
                <w:bCs/>
              </w:rPr>
              <w:t>研究の方法</w:t>
            </w:r>
          </w:p>
          <w:p w14:paraId="7AC54C21" w14:textId="77777777" w:rsidR="00024DEA" w:rsidRPr="003B5B3B" w:rsidRDefault="00024DEA" w:rsidP="00024DEA">
            <w:pPr>
              <w:rPr>
                <w:b/>
                <w:bCs/>
              </w:rPr>
            </w:pPr>
            <w:r w:rsidRPr="003B5B3B">
              <w:rPr>
                <w:b/>
                <w:bCs/>
              </w:rPr>
              <w:t>第</w:t>
            </w:r>
            <w:r w:rsidRPr="003B5B3B">
              <w:rPr>
                <w:b/>
                <w:bCs/>
              </w:rPr>
              <w:t>1</w:t>
            </w:r>
            <w:r w:rsidRPr="003B5B3B">
              <w:rPr>
                <w:b/>
                <w:bCs/>
              </w:rPr>
              <w:t>年次：探索的分析と理論構築</w:t>
            </w:r>
          </w:p>
          <w:p w14:paraId="5A7037A8" w14:textId="4BB6E0C1" w:rsidR="00024DEA" w:rsidRPr="003B5B3B" w:rsidRDefault="00024DEA" w:rsidP="00D902E4">
            <w:pPr>
              <w:pStyle w:val="a7"/>
              <w:numPr>
                <w:ilvl w:val="0"/>
                <w:numId w:val="3"/>
              </w:numPr>
              <w:ind w:leftChars="0"/>
            </w:pPr>
            <w:r w:rsidRPr="00D902E4">
              <w:rPr>
                <w:b/>
                <w:bCs/>
                <w:color w:val="EE0000"/>
                <w:u w:val="single"/>
              </w:rPr>
              <w:t>文献研究</w:t>
            </w:r>
            <w:r w:rsidR="00D902E4">
              <w:rPr>
                <w:rFonts w:hint="eastAsia"/>
                <w:b/>
                <w:bCs/>
              </w:rPr>
              <w:t xml:space="preserve">　</w:t>
            </w:r>
            <w:r w:rsidRPr="003B5B3B">
              <w:t>ICF</w:t>
            </w:r>
            <w:r w:rsidRPr="003B5B3B">
              <w:t>等の先行研究を体系的に整理し、欧米との制度的変遷の比較を行う。特に、環境因子の扱いに関する議論を整理し、日本の制度的文脈における適用可能性を検討する。</w:t>
            </w:r>
          </w:p>
          <w:p w14:paraId="010B9484" w14:textId="175FA515" w:rsidR="00024DEA" w:rsidRPr="003B5B3B" w:rsidRDefault="00024DEA" w:rsidP="00D902E4">
            <w:pPr>
              <w:pStyle w:val="a7"/>
              <w:numPr>
                <w:ilvl w:val="0"/>
                <w:numId w:val="3"/>
              </w:numPr>
              <w:ind w:leftChars="0"/>
            </w:pPr>
            <w:r w:rsidRPr="00D902E4">
              <w:rPr>
                <w:b/>
                <w:bCs/>
                <w:color w:val="EE0000"/>
                <w:u w:val="single"/>
              </w:rPr>
              <w:t>現行アセスメントの構造分析</w:t>
            </w:r>
            <w:r w:rsidR="00D902E4">
              <w:rPr>
                <w:rFonts w:hint="eastAsia"/>
                <w:b/>
                <w:bCs/>
              </w:rPr>
              <w:t xml:space="preserve">　</w:t>
            </w:r>
            <w:r w:rsidRPr="003B5B3B">
              <w:t>複数事業所のアセスメント方法を分析し、個人因子偏重の構造、環境因子欠落のパターンを抽出する。</w:t>
            </w:r>
          </w:p>
          <w:p w14:paraId="10C10512" w14:textId="6157D280" w:rsidR="00024DEA" w:rsidRPr="003B5B3B" w:rsidRDefault="00024DEA" w:rsidP="00D902E4">
            <w:pPr>
              <w:pStyle w:val="a7"/>
              <w:numPr>
                <w:ilvl w:val="0"/>
                <w:numId w:val="3"/>
              </w:numPr>
              <w:ind w:leftChars="0"/>
            </w:pPr>
            <w:r w:rsidRPr="00D902E4">
              <w:rPr>
                <w:b/>
                <w:bCs/>
                <w:color w:val="EE0000"/>
                <w:u w:val="single"/>
              </w:rPr>
              <w:t>支援経験の質的二次分析</w:t>
            </w:r>
            <w:r w:rsidR="00D902E4">
              <w:rPr>
                <w:rFonts w:hint="eastAsia"/>
                <w:b/>
                <w:bCs/>
              </w:rPr>
              <w:t xml:space="preserve">　</w:t>
            </w:r>
            <w:r>
              <w:rPr>
                <w:rFonts w:hint="eastAsia"/>
              </w:rPr>
              <w:t>自身の</w:t>
            </w:r>
            <w:r w:rsidRPr="003B5B3B">
              <w:t>支援経験から、理論構築に資する特徴的な事例を複数抽出し、テーマティック分析の手法を用いて「累積不利</w:t>
            </w:r>
            <w:r w:rsidRPr="003B5B3B">
              <w:t>→</w:t>
            </w:r>
            <w:r w:rsidRPr="003B5B3B">
              <w:t>認知・感情・行動様式</w:t>
            </w:r>
            <w:r w:rsidRPr="003B5B3B">
              <w:t>→</w:t>
            </w:r>
            <w:r w:rsidRPr="003B5B3B">
              <w:t>職業準備性（意思決定能力）」という因果構造を整理する。質的分析にあたっては、厚生労働省『人を対象とする生命科学・医学系研究に関する倫理指針』等に準拠し、倫理的配慮を行う。</w:t>
            </w:r>
          </w:p>
          <w:p w14:paraId="649DEB61" w14:textId="6D173B0F" w:rsidR="00024DEA" w:rsidRPr="00D902E4" w:rsidRDefault="00024DEA" w:rsidP="00D902E4">
            <w:pPr>
              <w:pStyle w:val="a7"/>
              <w:numPr>
                <w:ilvl w:val="0"/>
                <w:numId w:val="3"/>
              </w:numPr>
              <w:ind w:leftChars="0"/>
            </w:pPr>
            <w:r w:rsidRPr="00D902E4">
              <w:rPr>
                <w:b/>
                <w:bCs/>
                <w:color w:val="EE0000"/>
                <w:u w:val="single"/>
              </w:rPr>
              <w:t>探索的試行：大規模言語モデル（</w:t>
            </w:r>
            <w:r w:rsidRPr="00D902E4">
              <w:rPr>
                <w:b/>
                <w:bCs/>
                <w:color w:val="EE0000"/>
                <w:u w:val="single"/>
              </w:rPr>
              <w:t>ChatGPT</w:t>
            </w:r>
            <w:r w:rsidRPr="00D902E4">
              <w:rPr>
                <w:b/>
                <w:bCs/>
                <w:color w:val="EE0000"/>
                <w:u w:val="single"/>
              </w:rPr>
              <w:t>等；以下</w:t>
            </w:r>
            <w:r w:rsidRPr="00D902E4">
              <w:rPr>
                <w:b/>
                <w:bCs/>
                <w:color w:val="EE0000"/>
                <w:u w:val="single"/>
              </w:rPr>
              <w:t>LLM</w:t>
            </w:r>
            <w:r w:rsidRPr="00D902E4">
              <w:rPr>
                <w:b/>
                <w:bCs/>
                <w:color w:val="EE0000"/>
                <w:u w:val="single"/>
              </w:rPr>
              <w:t>）を活用した</w:t>
            </w:r>
            <w:r w:rsidR="00033530" w:rsidRPr="00D902E4">
              <w:rPr>
                <w:b/>
                <w:bCs/>
                <w:color w:val="EE0000"/>
                <w:u w:val="single"/>
              </w:rPr>
              <w:t>DB-M</w:t>
            </w:r>
            <w:r w:rsidRPr="00D902E4">
              <w:rPr>
                <w:b/>
                <w:bCs/>
                <w:color w:val="EE0000"/>
                <w:u w:val="single"/>
              </w:rPr>
              <w:t>可視化</w:t>
            </w:r>
            <w:r w:rsidR="00D902E4">
              <w:rPr>
                <w:rFonts w:hint="eastAsia"/>
              </w:rPr>
              <w:t xml:space="preserve">　</w:t>
            </w:r>
            <w:r w:rsidRPr="003B5B3B">
              <w:t>当事者対話をもとに、</w:t>
            </w:r>
            <w:r w:rsidR="00033530">
              <w:t>DB-M</w:t>
            </w:r>
            <w:r w:rsidRPr="003B5B3B">
              <w:t>として再構成し、自己理解を促進する可能性を探索的に試行する。</w:t>
            </w:r>
            <w:r w:rsidRPr="003B5B3B">
              <w:t>LLM</w:t>
            </w:r>
            <w:r w:rsidRPr="003B5B3B">
              <w:t>は研究対象ではなく支援過程の補助ツールとして位置づける。出力結果の妥当性は、当事者本人と支援者による対話的検証を必須プロセスとし、</w:t>
            </w:r>
            <w:r>
              <w:rPr>
                <w:rFonts w:hint="eastAsia"/>
              </w:rPr>
              <w:t>両者</w:t>
            </w:r>
            <w:r w:rsidRPr="003B5B3B">
              <w:t>の合意</w:t>
            </w:r>
            <w:r w:rsidR="00D902E4">
              <w:rPr>
                <w:rFonts w:hint="eastAsia"/>
              </w:rPr>
              <w:t>の</w:t>
            </w:r>
            <w:r w:rsidRPr="003B5B3B">
              <w:t>上で活用する。評価対象は</w:t>
            </w:r>
            <w:r w:rsidRPr="003B5B3B">
              <w:t>LLM</w:t>
            </w:r>
            <w:r w:rsidRPr="003B5B3B">
              <w:t>の性能ではなく、当事者の自己理解が深まる支援プロセス全体である。</w:t>
            </w:r>
          </w:p>
          <w:p w14:paraId="195BD1D1" w14:textId="77777777" w:rsidR="00024DEA" w:rsidRPr="003B5B3B" w:rsidRDefault="00024DEA" w:rsidP="00024DEA">
            <w:pPr>
              <w:rPr>
                <w:b/>
                <w:bCs/>
              </w:rPr>
            </w:pPr>
            <w:r w:rsidRPr="003B5B3B">
              <w:rPr>
                <w:b/>
                <w:bCs/>
              </w:rPr>
              <w:t>第</w:t>
            </w:r>
            <w:r w:rsidRPr="003B5B3B">
              <w:rPr>
                <w:b/>
                <w:bCs/>
              </w:rPr>
              <w:t>2</w:t>
            </w:r>
            <w:r w:rsidRPr="003B5B3B">
              <w:rPr>
                <w:b/>
                <w:bCs/>
              </w:rPr>
              <w:t>年次：モデルの精緻化と限定的妥当性検証</w:t>
            </w:r>
          </w:p>
          <w:p w14:paraId="23D78F9E" w14:textId="2251F3C6" w:rsidR="00024DEA" w:rsidRPr="003B5B3B" w:rsidRDefault="00024DEA" w:rsidP="007D6E8A">
            <w:pPr>
              <w:pStyle w:val="a7"/>
              <w:numPr>
                <w:ilvl w:val="0"/>
                <w:numId w:val="4"/>
              </w:numPr>
              <w:ind w:leftChars="0"/>
            </w:pPr>
            <w:r w:rsidRPr="007D6E8A">
              <w:rPr>
                <w:b/>
                <w:bCs/>
                <w:color w:val="EE0000"/>
                <w:u w:val="single"/>
              </w:rPr>
              <w:t>アセスメント項目案の作成</w:t>
            </w:r>
            <w:r w:rsidR="00D902E4">
              <w:rPr>
                <w:rFonts w:hint="eastAsia"/>
                <w:b/>
                <w:bCs/>
              </w:rPr>
              <w:t xml:space="preserve">　</w:t>
            </w:r>
            <w:r w:rsidRPr="003B5B3B">
              <w:t>価値観・希望・自己理解プロセス、および累積環境因子（教育・支援歴等）を統合した項目案を作成する。</w:t>
            </w:r>
          </w:p>
          <w:p w14:paraId="5BC75862" w14:textId="65B44328" w:rsidR="00024DEA" w:rsidRPr="003B5B3B" w:rsidRDefault="00024DEA" w:rsidP="007D6E8A">
            <w:pPr>
              <w:pStyle w:val="a7"/>
              <w:numPr>
                <w:ilvl w:val="0"/>
                <w:numId w:val="4"/>
              </w:numPr>
              <w:ind w:leftChars="0"/>
            </w:pPr>
            <w:r w:rsidRPr="007D6E8A">
              <w:rPr>
                <w:b/>
                <w:bCs/>
                <w:color w:val="EE0000"/>
                <w:u w:val="single"/>
              </w:rPr>
              <w:t>支援者による限定的妥当性評価</w:t>
            </w:r>
            <w:r w:rsidR="00D902E4">
              <w:rPr>
                <w:rFonts w:hint="eastAsia"/>
                <w:b/>
                <w:bCs/>
              </w:rPr>
              <w:t xml:space="preserve">　</w:t>
            </w:r>
            <w:r w:rsidRPr="003B5B3B">
              <w:t>半構造化インタビュー等を通じて、項目の明確性・実行可能性を探索的範囲で検証する。現場の支援者が実際に活用できる形式かどうかを重視する。</w:t>
            </w:r>
          </w:p>
          <w:p w14:paraId="722F2CD6" w14:textId="6A3D87ED" w:rsidR="00024DEA" w:rsidRPr="003B5B3B" w:rsidRDefault="00024DEA" w:rsidP="007D6E8A">
            <w:pPr>
              <w:pStyle w:val="a7"/>
              <w:numPr>
                <w:ilvl w:val="0"/>
                <w:numId w:val="4"/>
              </w:numPr>
              <w:ind w:leftChars="0"/>
            </w:pPr>
            <w:r w:rsidRPr="007D6E8A">
              <w:rPr>
                <w:b/>
                <w:bCs/>
                <w:color w:val="EE0000"/>
                <w:u w:val="single"/>
              </w:rPr>
              <w:t>情報境界線の理論的整理</w:t>
            </w:r>
            <w:r w:rsidR="007D6E8A">
              <w:rPr>
                <w:rFonts w:hint="eastAsia"/>
                <w:b/>
                <w:bCs/>
              </w:rPr>
              <w:t xml:space="preserve">　</w:t>
            </w:r>
            <w:r w:rsidRPr="003B5B3B">
              <w:t>当事者、支援者、組織という情報境界線を理論的に明確化する。情報境界線とは、各関係者が必要最小限の情報のみを受け取る設計であり、</w:t>
            </w:r>
            <w:r w:rsidRPr="003B5B3B">
              <w:t>CRPD</w:t>
            </w:r>
            <w:r w:rsidRPr="003B5B3B">
              <w:t>（障害者権利条約）</w:t>
            </w:r>
            <w:r>
              <w:rPr>
                <w:rFonts w:hint="eastAsia"/>
              </w:rPr>
              <w:t>の</w:t>
            </w:r>
            <w:r w:rsidRPr="003B5B3B">
              <w:t>「ミニマムアクセス原則」に基づく。</w:t>
            </w:r>
          </w:p>
          <w:p w14:paraId="760F7786" w14:textId="0CF981D8" w:rsidR="00024DEA" w:rsidRPr="003B5B3B" w:rsidRDefault="00024DEA" w:rsidP="007D6E8A">
            <w:pPr>
              <w:pStyle w:val="a7"/>
              <w:numPr>
                <w:ilvl w:val="0"/>
                <w:numId w:val="4"/>
              </w:numPr>
              <w:ind w:leftChars="0"/>
            </w:pPr>
            <w:r w:rsidRPr="007D6E8A">
              <w:rPr>
                <w:b/>
                <w:bCs/>
                <w:color w:val="EE0000"/>
                <w:u w:val="single"/>
              </w:rPr>
              <w:t>試行的実践の総合評価</w:t>
            </w:r>
            <w:r w:rsidR="00D902E4">
              <w:rPr>
                <w:rFonts w:hint="eastAsia"/>
                <w:b/>
                <w:bCs/>
              </w:rPr>
              <w:t xml:space="preserve">　</w:t>
            </w:r>
            <w:r w:rsidRPr="003B5B3B">
              <w:t>LLM</w:t>
            </w:r>
            <w:r w:rsidRPr="003B5B3B">
              <w:t>による</w:t>
            </w:r>
            <w:r w:rsidR="00033530">
              <w:t>DB-M</w:t>
            </w:r>
            <w:r w:rsidRPr="003B5B3B">
              <w:t>可視化が、自己理解に寄与するかを探索的に評価する。</w:t>
            </w:r>
          </w:p>
          <w:p w14:paraId="4A69544D" w14:textId="77777777" w:rsidR="00024DEA" w:rsidRPr="003B5B3B" w:rsidRDefault="00024DEA" w:rsidP="00024DEA">
            <w:r>
              <w:pict w14:anchorId="46FB28F5">
                <v:rect id="_x0000_i1073" style="width:0;height:1.5pt" o:hralign="center" o:hrstd="t" o:hr="t" fillcolor="#a0a0a0" stroked="f">
                  <v:textbox inset="5.85pt,.7pt,5.85pt,.7pt"/>
                </v:rect>
              </w:pict>
            </w:r>
          </w:p>
          <w:p w14:paraId="45D3FB4B" w14:textId="77777777" w:rsidR="00024DEA" w:rsidRPr="003B5B3B" w:rsidRDefault="00024DEA" w:rsidP="00024DEA">
            <w:pPr>
              <w:rPr>
                <w:b/>
                <w:bCs/>
              </w:rPr>
            </w:pPr>
            <w:r w:rsidRPr="003B5B3B">
              <w:rPr>
                <w:b/>
                <w:bCs/>
              </w:rPr>
              <w:t xml:space="preserve">4. </w:t>
            </w:r>
            <w:r w:rsidRPr="003B5B3B">
              <w:rPr>
                <w:b/>
                <w:bCs/>
              </w:rPr>
              <w:t>研究内容</w:t>
            </w:r>
          </w:p>
          <w:p w14:paraId="705C469B" w14:textId="77777777" w:rsidR="00024DEA" w:rsidRPr="003B5B3B" w:rsidRDefault="00024DEA" w:rsidP="00CF6F7A">
            <w:pPr>
              <w:ind w:firstLineChars="100" w:firstLine="210"/>
            </w:pPr>
            <w:r w:rsidRPr="003B5B3B">
              <w:t>本研究では、以下の</w:t>
            </w:r>
            <w:r w:rsidRPr="003B5B3B">
              <w:t>4</w:t>
            </w:r>
            <w:r w:rsidRPr="003B5B3B">
              <w:t>つの研究内容に取り組む。</w:t>
            </w:r>
          </w:p>
          <w:p w14:paraId="1F0DAAC3" w14:textId="77777777" w:rsidR="00024DEA" w:rsidRPr="003B5B3B" w:rsidRDefault="00024DEA" w:rsidP="00024DEA">
            <w:pPr>
              <w:rPr>
                <w:b/>
                <w:bCs/>
              </w:rPr>
            </w:pPr>
            <w:r w:rsidRPr="003B5B3B">
              <w:rPr>
                <w:b/>
                <w:bCs/>
              </w:rPr>
              <w:t xml:space="preserve">4.1 </w:t>
            </w:r>
            <w:r w:rsidRPr="003B5B3B">
              <w:rPr>
                <w:b/>
                <w:bCs/>
              </w:rPr>
              <w:t>累積不利の因果構造モデルの構築</w:t>
            </w:r>
          </w:p>
          <w:p w14:paraId="6A5CB774" w14:textId="69F9EFCC" w:rsidR="00024DEA" w:rsidRPr="003B5B3B" w:rsidRDefault="00024DEA" w:rsidP="007D6E8A">
            <w:pPr>
              <w:ind w:leftChars="100" w:left="210"/>
            </w:pPr>
            <w:r w:rsidRPr="003B5B3B">
              <w:t>ACEs</w:t>
            </w:r>
            <w:r w:rsidRPr="003B5B3B">
              <w:t>等の累積不利が、認知・感情・行動様式を媒介して、職業準備性に影響するという因果構造を、先行研究が限られる就労移行支援の文脈において探索的に整理する。</w:t>
            </w:r>
            <w:r w:rsidRPr="003B5B3B">
              <w:t>ACEs</w:t>
            </w:r>
            <w:r w:rsidRPr="003B5B3B">
              <w:t>研究は医療分野での知見が中心であり就労支援への応用は国際的にも発展途上である。本研究はこの空白を埋める試みとして位置づけられる。</w:t>
            </w:r>
          </w:p>
          <w:p w14:paraId="01F6DB53" w14:textId="77777777" w:rsidR="00024DEA" w:rsidRPr="003B5B3B" w:rsidRDefault="00024DEA" w:rsidP="00024DEA">
            <w:pPr>
              <w:rPr>
                <w:b/>
                <w:bCs/>
              </w:rPr>
            </w:pPr>
            <w:r w:rsidRPr="003B5B3B">
              <w:rPr>
                <w:b/>
                <w:bCs/>
              </w:rPr>
              <w:t xml:space="preserve">4.2 </w:t>
            </w:r>
            <w:r w:rsidRPr="003B5B3B">
              <w:rPr>
                <w:b/>
                <w:bCs/>
              </w:rPr>
              <w:t>複式簿記メタファーによる自己理解支援フレームワークの設計</w:t>
            </w:r>
          </w:p>
          <w:p w14:paraId="7648AE21" w14:textId="10A82EE6" w:rsidR="00024DEA" w:rsidRPr="003B5B3B" w:rsidRDefault="00024DEA" w:rsidP="007D6E8A">
            <w:pPr>
              <w:ind w:leftChars="100" w:left="210"/>
            </w:pPr>
            <w:r w:rsidRPr="003B5B3B">
              <w:t>人生版</w:t>
            </w:r>
            <w:r w:rsidR="00033530">
              <w:t>DB-M</w:t>
            </w:r>
            <w:r w:rsidRPr="003B5B3B">
              <w:t>と</w:t>
            </w:r>
            <w:r w:rsidRPr="003B5B3B">
              <w:t>LLM</w:t>
            </w:r>
            <w:r w:rsidRPr="003B5B3B">
              <w:t>を統合した自己理解支援モデル理論を設計する。当事者が「自分のストーリーを</w:t>
            </w:r>
            <w:r w:rsidRPr="003B5B3B">
              <w:lastRenderedPageBreak/>
              <w:t>自分の言葉で語れる状態」に至るプロセスを、自己理解の到達点として理論的に整理する。</w:t>
            </w:r>
          </w:p>
          <w:p w14:paraId="7367EFEB" w14:textId="34716623" w:rsidR="00024DEA" w:rsidRPr="003B5B3B" w:rsidRDefault="00024DEA" w:rsidP="007D6E8A">
            <w:pPr>
              <w:ind w:leftChars="100" w:left="210"/>
            </w:pPr>
            <w:r w:rsidRPr="003B5B3B">
              <w:t>本フレームワークの核心は、既存のナラティブアプローチ</w:t>
            </w:r>
            <w:r>
              <w:rPr>
                <w:rFonts w:hint="eastAsia"/>
              </w:rPr>
              <w:t>等</w:t>
            </w:r>
            <w:r w:rsidRPr="003B5B3B">
              <w:t>を活用し、潜在化している過去の累積不利を可視化し、それを「個人の責任」ではなく「社会的障壁の証明」および「合理的調整の要求根拠」として再定位する点にある。ここで累積不利とは、個人の失敗に限定せず、社会が個人に負わせた構造的コストも含める。これにより、従来「自己責任」として個人に帰属されてきた構造的不利を、適切な支援要求へと転換する理論的基盤を提供する。</w:t>
            </w:r>
          </w:p>
          <w:p w14:paraId="756C0CBE" w14:textId="77777777" w:rsidR="00024DEA" w:rsidRPr="003B5B3B" w:rsidRDefault="00024DEA" w:rsidP="00024DEA">
            <w:pPr>
              <w:rPr>
                <w:b/>
                <w:bCs/>
              </w:rPr>
            </w:pPr>
            <w:r w:rsidRPr="003B5B3B">
              <w:rPr>
                <w:b/>
                <w:bCs/>
              </w:rPr>
              <w:t xml:space="preserve">4.3 </w:t>
            </w:r>
            <w:r w:rsidRPr="003B5B3B">
              <w:rPr>
                <w:b/>
                <w:bCs/>
              </w:rPr>
              <w:t>時間軸を含む環境因子の統合</w:t>
            </w:r>
          </w:p>
          <w:p w14:paraId="4D31D753" w14:textId="77777777" w:rsidR="00024DEA" w:rsidRPr="003B5B3B" w:rsidRDefault="00024DEA" w:rsidP="007D6E8A">
            <w:pPr>
              <w:ind w:leftChars="100" w:left="210"/>
            </w:pPr>
            <w:r w:rsidRPr="003B5B3B">
              <w:t>「累積環境因子」を、</w:t>
            </w:r>
            <w:r w:rsidRPr="003B5B3B">
              <w:t>ICF</w:t>
            </w:r>
            <w:r w:rsidRPr="003B5B3B">
              <w:t>に基づき時間軸を通して評価に組み込む枠組みを構築する。従来の「個人能力の測定」から、「累積不利を含む育成歴全体を通じた意思形成プロセスの理解」へとアセスメントの意味を拡張する。</w:t>
            </w:r>
          </w:p>
          <w:p w14:paraId="0C1E6033" w14:textId="77777777" w:rsidR="00024DEA" w:rsidRPr="003B5B3B" w:rsidRDefault="00024DEA" w:rsidP="00024DEA">
            <w:pPr>
              <w:rPr>
                <w:b/>
                <w:bCs/>
              </w:rPr>
            </w:pPr>
            <w:r w:rsidRPr="003B5B3B">
              <w:rPr>
                <w:b/>
                <w:bCs/>
              </w:rPr>
              <w:t xml:space="preserve">4.4 </w:t>
            </w:r>
            <w:r w:rsidRPr="003B5B3B">
              <w:rPr>
                <w:b/>
                <w:bCs/>
              </w:rPr>
              <w:t>情報境界線の理論的設計</w:t>
            </w:r>
          </w:p>
          <w:p w14:paraId="3FBA5274" w14:textId="7D681E4F" w:rsidR="00033530" w:rsidRDefault="00024DEA" w:rsidP="007D6E8A">
            <w:pPr>
              <w:ind w:leftChars="100" w:left="210"/>
              <w:rPr>
                <w:b/>
                <w:bCs/>
              </w:rPr>
            </w:pPr>
            <w:r w:rsidRPr="003B5B3B">
              <w:t>当事者・支援者・組織が必要とする情報を分離し、スティグマの再生産を防ぎつつ実務的連携を可能にする理論枠組みを構築する。当事者側には</w:t>
            </w:r>
            <w:r w:rsidR="00033530">
              <w:t>DB-M</w:t>
            </w:r>
            <w:r w:rsidRPr="003B5B3B">
              <w:t>として過去から現在の自己理解を支援し、組織側には過去の診断情報ではなく「未来に予測される困難性と必要な合理的調整」のみを提示する。この設計は、</w:t>
            </w:r>
            <w:r w:rsidRPr="003B5B3B">
              <w:t>CRPD</w:t>
            </w:r>
            <w:r w:rsidRPr="003B5B3B">
              <w:t>が求める「最小限の開示」「尊厳の保護」にも合致する。</w:t>
            </w:r>
          </w:p>
          <w:p w14:paraId="23F19796" w14:textId="147DF8B1" w:rsidR="00024DEA" w:rsidRPr="003B5B3B" w:rsidRDefault="00024DEA" w:rsidP="00024DEA">
            <w:pPr>
              <w:rPr>
                <w:b/>
                <w:bCs/>
              </w:rPr>
            </w:pPr>
            <w:r w:rsidRPr="003B5B3B">
              <w:rPr>
                <w:b/>
                <w:bCs/>
              </w:rPr>
              <w:t xml:space="preserve">5. </w:t>
            </w:r>
            <w:r w:rsidRPr="003B5B3B">
              <w:rPr>
                <w:b/>
                <w:bCs/>
              </w:rPr>
              <w:t>研究の特色（学術的新規性）</w:t>
            </w:r>
          </w:p>
          <w:p w14:paraId="70BD4223" w14:textId="6C2811D8" w:rsidR="00024DEA" w:rsidRPr="003B5B3B" w:rsidRDefault="00024DEA" w:rsidP="007D6E8A">
            <w:pPr>
              <w:pStyle w:val="a7"/>
              <w:numPr>
                <w:ilvl w:val="0"/>
                <w:numId w:val="5"/>
              </w:numPr>
              <w:ind w:leftChars="0"/>
            </w:pPr>
            <w:r w:rsidRPr="007D6E8A">
              <w:rPr>
                <w:b/>
                <w:bCs/>
                <w:color w:val="EE0000"/>
                <w:u w:val="single"/>
              </w:rPr>
              <w:t>アセスメント論の拡張</w:t>
            </w:r>
            <w:r w:rsidR="007D6E8A">
              <w:rPr>
                <w:rFonts w:hint="eastAsia"/>
                <w:b/>
                <w:bCs/>
              </w:rPr>
              <w:t xml:space="preserve">　</w:t>
            </w:r>
            <w:r w:rsidRPr="003B5B3B">
              <w:t>本研究の独創性は、既存のアセスメント論を「拡張」する点にある。従来の「個人能力の測定」に加え、「累積不利を含む育成歴全体を通じた自己理解形成プロセスの理解」をアセスメントの射程に含める。この拡張は、複式簿記メタファーと累積不利の統合によって可能となる。</w:t>
            </w:r>
          </w:p>
          <w:p w14:paraId="22AD9D3D" w14:textId="7435A5AD" w:rsidR="00024DEA" w:rsidRPr="003B5B3B" w:rsidRDefault="00024DEA" w:rsidP="007D6E8A">
            <w:pPr>
              <w:pStyle w:val="a7"/>
              <w:numPr>
                <w:ilvl w:val="0"/>
                <w:numId w:val="5"/>
              </w:numPr>
              <w:ind w:leftChars="0"/>
            </w:pPr>
            <w:r w:rsidRPr="007D6E8A">
              <w:rPr>
                <w:b/>
                <w:bCs/>
                <w:color w:val="EE0000"/>
                <w:u w:val="single"/>
              </w:rPr>
              <w:t>複式簿記メタファーの福祉領域への応用</w:t>
            </w:r>
            <w:r w:rsidR="007D6E8A">
              <w:rPr>
                <w:rFonts w:hint="eastAsia"/>
                <w:b/>
                <w:bCs/>
              </w:rPr>
              <w:t xml:space="preserve">　</w:t>
            </w:r>
            <w:r w:rsidRPr="003B5B3B">
              <w:t>会計学の概念である複式簿記を、当事者の自己理解支援に応用する点は、福祉研究において体系的な整理が限られている領域である。抽象的な自己理解を構造化し、可視化することで、当事者と支援者の共通言語を創出する。</w:t>
            </w:r>
          </w:p>
          <w:p w14:paraId="3FA9C02A" w14:textId="3391FD23" w:rsidR="00024DEA" w:rsidRPr="003B5B3B" w:rsidRDefault="00024DEA" w:rsidP="007D6E8A">
            <w:pPr>
              <w:pStyle w:val="a7"/>
              <w:numPr>
                <w:ilvl w:val="0"/>
                <w:numId w:val="5"/>
              </w:numPr>
              <w:ind w:leftChars="0"/>
            </w:pPr>
            <w:r w:rsidRPr="007D6E8A">
              <w:rPr>
                <w:b/>
                <w:bCs/>
                <w:color w:val="EE0000"/>
                <w:u w:val="single"/>
              </w:rPr>
              <w:t>制度的変遷の国際比較による日本固有の空白領域の提示</w:t>
            </w:r>
            <w:r w:rsidR="007D6E8A">
              <w:rPr>
                <w:rFonts w:hint="eastAsia"/>
                <w:b/>
                <w:bCs/>
              </w:rPr>
              <w:t xml:space="preserve">　</w:t>
            </w:r>
            <w:r w:rsidRPr="003B5B3B">
              <w:t>英米では扱われてきた環境因子重視の支援モデルが、日本では欠落していることを明確化し、その空白を埋める理論的基盤を提供する。</w:t>
            </w:r>
          </w:p>
          <w:p w14:paraId="56E9C8FF" w14:textId="260BB0DF" w:rsidR="00024DEA" w:rsidRPr="003B5B3B" w:rsidRDefault="00024DEA" w:rsidP="007D6E8A">
            <w:pPr>
              <w:pStyle w:val="a7"/>
              <w:numPr>
                <w:ilvl w:val="0"/>
                <w:numId w:val="5"/>
              </w:numPr>
              <w:ind w:leftChars="0"/>
            </w:pPr>
            <w:r w:rsidRPr="007D6E8A">
              <w:rPr>
                <w:b/>
                <w:bCs/>
                <w:color w:val="EE0000"/>
                <w:u w:val="single"/>
              </w:rPr>
              <w:t>組織側評価との接続可能性</w:t>
            </w:r>
            <w:r w:rsidR="007D6E8A">
              <w:rPr>
                <w:rFonts w:hint="eastAsia"/>
                <w:b/>
                <w:bCs/>
              </w:rPr>
              <w:t xml:space="preserve">　</w:t>
            </w:r>
            <w:r w:rsidRPr="003B5B3B">
              <w:t>BDI</w:t>
            </w:r>
            <w:r w:rsidRPr="003B5B3B">
              <w:t>の理念における組織側目的適合性評価を、補助的フレームワークとして位置づけ、博士研究での展開可能性を示す。</w:t>
            </w:r>
          </w:p>
          <w:p w14:paraId="61D0B8C6" w14:textId="77777777" w:rsidR="00024DEA" w:rsidRPr="003B5B3B" w:rsidRDefault="00024DEA" w:rsidP="00024DEA">
            <w:r>
              <w:pict w14:anchorId="2C5F164C">
                <v:rect id="_x0000_i1074" style="width:0;height:1.5pt" o:hralign="center" o:hrstd="t" o:hr="t" fillcolor="#a0a0a0" stroked="f">
                  <v:textbox inset="5.85pt,.7pt,5.85pt,.7pt"/>
                </v:rect>
              </w:pict>
            </w:r>
          </w:p>
          <w:p w14:paraId="1F4D717A" w14:textId="77777777" w:rsidR="00024DEA" w:rsidRPr="003B5B3B" w:rsidRDefault="00024DEA" w:rsidP="00024DEA">
            <w:pPr>
              <w:rPr>
                <w:b/>
                <w:bCs/>
              </w:rPr>
            </w:pPr>
            <w:r w:rsidRPr="003B5B3B">
              <w:rPr>
                <w:b/>
                <w:bCs/>
              </w:rPr>
              <w:t>引用文献・参考文献</w:t>
            </w:r>
          </w:p>
          <w:p w14:paraId="79071E39" w14:textId="77777777" w:rsidR="00024DEA" w:rsidRPr="007D6E8A" w:rsidRDefault="00024DEA" w:rsidP="00024DEA">
            <w:pPr>
              <w:numPr>
                <w:ilvl w:val="0"/>
                <w:numId w:val="1"/>
              </w:numPr>
              <w:jc w:val="left"/>
              <w:rPr>
                <w:szCs w:val="21"/>
              </w:rPr>
            </w:pPr>
            <w:r w:rsidRPr="007D6E8A">
              <w:rPr>
                <w:szCs w:val="21"/>
              </w:rPr>
              <w:t xml:space="preserve">Felitti, V. J., et al. (1998). Relationship of childhood abuse and household dysfunction to many of the leading causes of death in adults: The Adverse Childhood Experiences (ACE) Study. </w:t>
            </w:r>
            <w:r w:rsidRPr="007D6E8A">
              <w:rPr>
                <w:i/>
                <w:iCs/>
                <w:szCs w:val="21"/>
              </w:rPr>
              <w:t>American Journal of Preventive Medicine</w:t>
            </w:r>
            <w:r w:rsidRPr="007D6E8A">
              <w:rPr>
                <w:szCs w:val="21"/>
              </w:rPr>
              <w:t>, 14(4), 245-258.</w:t>
            </w:r>
          </w:p>
          <w:p w14:paraId="211F66CC" w14:textId="77777777" w:rsidR="00024DEA" w:rsidRPr="007D6E8A" w:rsidRDefault="00024DEA" w:rsidP="00024DEA">
            <w:pPr>
              <w:numPr>
                <w:ilvl w:val="0"/>
                <w:numId w:val="1"/>
              </w:numPr>
              <w:jc w:val="left"/>
              <w:rPr>
                <w:szCs w:val="21"/>
              </w:rPr>
            </w:pPr>
            <w:r w:rsidRPr="007D6E8A">
              <w:rPr>
                <w:szCs w:val="21"/>
              </w:rPr>
              <w:t xml:space="preserve">Nussbaum, M. C. (2011). </w:t>
            </w:r>
            <w:r w:rsidRPr="007D6E8A">
              <w:rPr>
                <w:i/>
                <w:iCs/>
                <w:szCs w:val="21"/>
              </w:rPr>
              <w:t>Creating Capabilities: The Human Development Approach</w:t>
            </w:r>
            <w:r w:rsidRPr="007D6E8A">
              <w:rPr>
                <w:szCs w:val="21"/>
              </w:rPr>
              <w:t>. Harvard University Press.</w:t>
            </w:r>
          </w:p>
          <w:p w14:paraId="4CB75DC6" w14:textId="77777777" w:rsidR="00024DEA" w:rsidRPr="007D6E8A" w:rsidRDefault="00024DEA" w:rsidP="00024DEA">
            <w:pPr>
              <w:numPr>
                <w:ilvl w:val="0"/>
                <w:numId w:val="1"/>
              </w:numPr>
              <w:jc w:val="left"/>
              <w:rPr>
                <w:szCs w:val="21"/>
              </w:rPr>
            </w:pPr>
            <w:r w:rsidRPr="007D6E8A">
              <w:rPr>
                <w:szCs w:val="21"/>
              </w:rPr>
              <w:t xml:space="preserve">Sen, A. (1999). </w:t>
            </w:r>
            <w:r w:rsidRPr="007D6E8A">
              <w:rPr>
                <w:i/>
                <w:iCs/>
                <w:szCs w:val="21"/>
              </w:rPr>
              <w:t>Development as Freedom</w:t>
            </w:r>
            <w:r w:rsidRPr="007D6E8A">
              <w:rPr>
                <w:szCs w:val="21"/>
              </w:rPr>
              <w:t>. Oxford University Press.</w:t>
            </w:r>
          </w:p>
          <w:p w14:paraId="31956194" w14:textId="77777777" w:rsidR="00024DEA" w:rsidRPr="007D6E8A" w:rsidRDefault="00024DEA" w:rsidP="00024DEA">
            <w:pPr>
              <w:numPr>
                <w:ilvl w:val="0"/>
                <w:numId w:val="1"/>
              </w:numPr>
              <w:jc w:val="left"/>
              <w:rPr>
                <w:szCs w:val="21"/>
              </w:rPr>
            </w:pPr>
            <w:r w:rsidRPr="007D6E8A">
              <w:rPr>
                <w:szCs w:val="21"/>
              </w:rPr>
              <w:t xml:space="preserve">World Health Organization. (2001). </w:t>
            </w:r>
            <w:r w:rsidRPr="007D6E8A">
              <w:rPr>
                <w:i/>
                <w:iCs/>
                <w:szCs w:val="21"/>
              </w:rPr>
              <w:t>International Classification of Functioning, Disability and Health (ICF)</w:t>
            </w:r>
            <w:r w:rsidRPr="007D6E8A">
              <w:rPr>
                <w:szCs w:val="21"/>
              </w:rPr>
              <w:t>. WHO.</w:t>
            </w:r>
          </w:p>
          <w:p w14:paraId="4ACD2CC7" w14:textId="77777777" w:rsidR="00024DEA" w:rsidRPr="007D6E8A" w:rsidRDefault="00024DEA" w:rsidP="00024DEA">
            <w:pPr>
              <w:numPr>
                <w:ilvl w:val="0"/>
                <w:numId w:val="1"/>
              </w:numPr>
              <w:jc w:val="left"/>
              <w:rPr>
                <w:szCs w:val="21"/>
              </w:rPr>
            </w:pPr>
            <w:r w:rsidRPr="007D6E8A">
              <w:rPr>
                <w:szCs w:val="21"/>
              </w:rPr>
              <w:t xml:space="preserve">Bond, G. R., et al. (2018). An update on Individual Placement and Support. </w:t>
            </w:r>
            <w:r w:rsidRPr="007D6E8A">
              <w:rPr>
                <w:i/>
                <w:iCs/>
                <w:szCs w:val="21"/>
              </w:rPr>
              <w:t>World Psychiatry</w:t>
            </w:r>
            <w:r w:rsidRPr="007D6E8A">
              <w:rPr>
                <w:szCs w:val="21"/>
              </w:rPr>
              <w:t>, 17(3), 364-365.</w:t>
            </w:r>
          </w:p>
          <w:p w14:paraId="3C3BA91B" w14:textId="77777777" w:rsidR="00024DEA" w:rsidRPr="007D6E8A" w:rsidRDefault="00024DEA" w:rsidP="00024DEA">
            <w:pPr>
              <w:numPr>
                <w:ilvl w:val="0"/>
                <w:numId w:val="1"/>
              </w:numPr>
              <w:jc w:val="left"/>
              <w:rPr>
                <w:szCs w:val="21"/>
              </w:rPr>
            </w:pPr>
            <w:r w:rsidRPr="007D6E8A">
              <w:rPr>
                <w:szCs w:val="21"/>
              </w:rPr>
              <w:t xml:space="preserve">White, M., &amp; </w:t>
            </w:r>
            <w:proofErr w:type="spellStart"/>
            <w:r w:rsidRPr="007D6E8A">
              <w:rPr>
                <w:szCs w:val="21"/>
              </w:rPr>
              <w:t>Epston</w:t>
            </w:r>
            <w:proofErr w:type="spellEnd"/>
            <w:r w:rsidRPr="007D6E8A">
              <w:rPr>
                <w:szCs w:val="21"/>
              </w:rPr>
              <w:t xml:space="preserve">, D. (1990). </w:t>
            </w:r>
            <w:r w:rsidRPr="007D6E8A">
              <w:rPr>
                <w:i/>
                <w:iCs/>
                <w:szCs w:val="21"/>
              </w:rPr>
              <w:t>Narrative Means to Therapeutic Ends</w:t>
            </w:r>
            <w:r w:rsidRPr="007D6E8A">
              <w:rPr>
                <w:szCs w:val="21"/>
              </w:rPr>
              <w:t>. Norton.</w:t>
            </w:r>
          </w:p>
          <w:p w14:paraId="57D35057" w14:textId="77777777" w:rsidR="00024DEA" w:rsidRPr="007D6E8A" w:rsidRDefault="00024DEA" w:rsidP="00024DEA">
            <w:pPr>
              <w:numPr>
                <w:ilvl w:val="0"/>
                <w:numId w:val="1"/>
              </w:numPr>
              <w:jc w:val="left"/>
              <w:rPr>
                <w:szCs w:val="21"/>
              </w:rPr>
            </w:pPr>
            <w:r w:rsidRPr="007D6E8A">
              <w:rPr>
                <w:szCs w:val="21"/>
              </w:rPr>
              <w:t xml:space="preserve">Rapp, C. A., &amp; Goscha, R. J. (2012). </w:t>
            </w:r>
            <w:r w:rsidRPr="007D6E8A">
              <w:rPr>
                <w:i/>
                <w:iCs/>
                <w:szCs w:val="21"/>
              </w:rPr>
              <w:t>The Strengths Model</w:t>
            </w:r>
            <w:r w:rsidRPr="007D6E8A">
              <w:rPr>
                <w:szCs w:val="21"/>
              </w:rPr>
              <w:t xml:space="preserve"> (3rd ed.). Oxford University Press.</w:t>
            </w:r>
          </w:p>
          <w:p w14:paraId="60BE0A25" w14:textId="77777777" w:rsidR="00024DEA" w:rsidRPr="007D6E8A" w:rsidRDefault="00024DEA" w:rsidP="00024DEA">
            <w:pPr>
              <w:numPr>
                <w:ilvl w:val="0"/>
                <w:numId w:val="1"/>
              </w:numPr>
              <w:jc w:val="left"/>
              <w:rPr>
                <w:szCs w:val="21"/>
              </w:rPr>
            </w:pPr>
            <w:r w:rsidRPr="007D6E8A">
              <w:rPr>
                <w:szCs w:val="21"/>
              </w:rPr>
              <w:t xml:space="preserve">Braun, V., &amp; Clarke, V. (2006). Using thematic analysis in psychology. </w:t>
            </w:r>
            <w:r w:rsidRPr="007D6E8A">
              <w:rPr>
                <w:i/>
                <w:iCs/>
                <w:szCs w:val="21"/>
              </w:rPr>
              <w:t>Qualitative Research in Psychology</w:t>
            </w:r>
            <w:r w:rsidRPr="007D6E8A">
              <w:rPr>
                <w:szCs w:val="21"/>
              </w:rPr>
              <w:t>, 3(2), 77-101.</w:t>
            </w:r>
          </w:p>
          <w:p w14:paraId="026B4A31" w14:textId="759826E6" w:rsidR="00DF19B0" w:rsidRPr="007D6E8A" w:rsidRDefault="00024DEA" w:rsidP="007D6E8A">
            <w:pPr>
              <w:numPr>
                <w:ilvl w:val="0"/>
                <w:numId w:val="1"/>
              </w:numPr>
              <w:jc w:val="left"/>
              <w:rPr>
                <w:rFonts w:ascii="ＭＳ 明朝" w:hAnsi="ＭＳ 明朝"/>
                <w:szCs w:val="21"/>
              </w:rPr>
            </w:pPr>
            <w:r w:rsidRPr="007D6E8A">
              <w:rPr>
                <w:szCs w:val="21"/>
              </w:rPr>
              <w:t>厚生労働省（</w:t>
            </w:r>
            <w:r w:rsidRPr="007D6E8A">
              <w:rPr>
                <w:szCs w:val="21"/>
              </w:rPr>
              <w:t>2018</w:t>
            </w:r>
            <w:r w:rsidRPr="007D6E8A">
              <w:rPr>
                <w:szCs w:val="21"/>
              </w:rPr>
              <w:t>）「就労移行支援事業所の現状と課題」</w:t>
            </w:r>
          </w:p>
          <w:p w14:paraId="6909F84A" w14:textId="77777777" w:rsidR="0085799A" w:rsidRPr="00E333FA" w:rsidRDefault="0085799A" w:rsidP="00325AEB">
            <w:pPr>
              <w:ind w:firstLineChars="100" w:firstLine="210"/>
              <w:rPr>
                <w:rFonts w:ascii="ＭＳ 明朝" w:hAnsi="ＭＳ 明朝"/>
              </w:rPr>
            </w:pPr>
          </w:p>
        </w:tc>
      </w:tr>
    </w:tbl>
    <w:p w14:paraId="6035298C" w14:textId="77777777" w:rsidR="0087582D" w:rsidRPr="004A6C13" w:rsidRDefault="00DF19B0">
      <w:r>
        <w:rPr>
          <w:rFonts w:hint="eastAsia"/>
        </w:rPr>
        <w:lastRenderedPageBreak/>
        <w:t>＊印は記入しないこと</w:t>
      </w:r>
      <w:r w:rsidRPr="00564126">
        <w:rPr>
          <w:rFonts w:hint="eastAsia"/>
          <w:sz w:val="22"/>
        </w:rPr>
        <w:t>。</w:t>
      </w:r>
    </w:p>
    <w:sectPr w:rsidR="0087582D" w:rsidRPr="004A6C13" w:rsidSect="00B1178F">
      <w:headerReference w:type="default" r:id="rId7"/>
      <w:pgSz w:w="11906" w:h="16838"/>
      <w:pgMar w:top="851" w:right="851" w:bottom="851" w:left="851"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72877" w14:textId="77777777" w:rsidR="00C54AD5" w:rsidRDefault="00C54AD5">
      <w:r>
        <w:separator/>
      </w:r>
    </w:p>
  </w:endnote>
  <w:endnote w:type="continuationSeparator" w:id="0">
    <w:p w14:paraId="6E15EF5C" w14:textId="77777777" w:rsidR="00C54AD5" w:rsidRDefault="00C54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altName w:val="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E4B6F" w14:textId="77777777" w:rsidR="00C54AD5" w:rsidRDefault="00C54AD5">
      <w:r>
        <w:separator/>
      </w:r>
    </w:p>
  </w:footnote>
  <w:footnote w:type="continuationSeparator" w:id="0">
    <w:p w14:paraId="111AE464" w14:textId="77777777" w:rsidR="00C54AD5" w:rsidRDefault="00C54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4B87" w14:textId="77777777" w:rsidR="00B1178F" w:rsidRDefault="00B1178F" w:rsidP="00B1178F">
    <w:pPr>
      <w:pStyle w:val="a4"/>
      <w:jc w:val="right"/>
    </w:pPr>
    <w:r>
      <w:rPr>
        <w:rFonts w:hint="eastAsia"/>
      </w:rPr>
      <w:t>［研究計画書］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2BC"/>
    <w:multiLevelType w:val="multilevel"/>
    <w:tmpl w:val="DECE04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31548C"/>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abstractNum w:abstractNumId="2" w15:restartNumberingAfterBreak="0">
    <w:nsid w:val="5DE32377"/>
    <w:multiLevelType w:val="hybridMultilevel"/>
    <w:tmpl w:val="F0FA5554"/>
    <w:lvl w:ilvl="0" w:tplc="5C9E88BC">
      <w:start w:val="1"/>
      <w:numFmt w:val="decimal"/>
      <w:suff w:val="space"/>
      <w:lvlText w:val="(%1)"/>
      <w:lvlJc w:val="left"/>
      <w:pPr>
        <w:ind w:left="318" w:hanging="360"/>
      </w:pPr>
      <w:rPr>
        <w:rFonts w:ascii="Century" w:eastAsia="ＭＳ 明朝" w:hAnsi="Century" w:cs="Times New Roman" w:hint="eastAsia"/>
        <w:b/>
      </w:rPr>
    </w:lvl>
    <w:lvl w:ilvl="1" w:tplc="04090017" w:tentative="1">
      <w:start w:val="1"/>
      <w:numFmt w:val="aiueoFullWidth"/>
      <w:lvlText w:val="(%2)"/>
      <w:lvlJc w:val="left"/>
      <w:pPr>
        <w:ind w:left="838" w:hanging="440"/>
      </w:pPr>
    </w:lvl>
    <w:lvl w:ilvl="2" w:tplc="04090011" w:tentative="1">
      <w:start w:val="1"/>
      <w:numFmt w:val="decimalEnclosedCircle"/>
      <w:lvlText w:val="%3"/>
      <w:lvlJc w:val="left"/>
      <w:pPr>
        <w:ind w:left="1278" w:hanging="440"/>
      </w:pPr>
    </w:lvl>
    <w:lvl w:ilvl="3" w:tplc="0409000F" w:tentative="1">
      <w:start w:val="1"/>
      <w:numFmt w:val="decimal"/>
      <w:lvlText w:val="%4."/>
      <w:lvlJc w:val="left"/>
      <w:pPr>
        <w:ind w:left="1718" w:hanging="440"/>
      </w:pPr>
    </w:lvl>
    <w:lvl w:ilvl="4" w:tplc="04090017" w:tentative="1">
      <w:start w:val="1"/>
      <w:numFmt w:val="aiueoFullWidth"/>
      <w:lvlText w:val="(%5)"/>
      <w:lvlJc w:val="left"/>
      <w:pPr>
        <w:ind w:left="2158" w:hanging="440"/>
      </w:pPr>
    </w:lvl>
    <w:lvl w:ilvl="5" w:tplc="04090011" w:tentative="1">
      <w:start w:val="1"/>
      <w:numFmt w:val="decimalEnclosedCircle"/>
      <w:lvlText w:val="%6"/>
      <w:lvlJc w:val="left"/>
      <w:pPr>
        <w:ind w:left="2598" w:hanging="440"/>
      </w:pPr>
    </w:lvl>
    <w:lvl w:ilvl="6" w:tplc="0409000F" w:tentative="1">
      <w:start w:val="1"/>
      <w:numFmt w:val="decimal"/>
      <w:lvlText w:val="%7."/>
      <w:lvlJc w:val="left"/>
      <w:pPr>
        <w:ind w:left="3038" w:hanging="440"/>
      </w:pPr>
    </w:lvl>
    <w:lvl w:ilvl="7" w:tplc="04090017" w:tentative="1">
      <w:start w:val="1"/>
      <w:numFmt w:val="aiueoFullWidth"/>
      <w:lvlText w:val="(%8)"/>
      <w:lvlJc w:val="left"/>
      <w:pPr>
        <w:ind w:left="3478" w:hanging="440"/>
      </w:pPr>
    </w:lvl>
    <w:lvl w:ilvl="8" w:tplc="04090011" w:tentative="1">
      <w:start w:val="1"/>
      <w:numFmt w:val="decimalEnclosedCircle"/>
      <w:lvlText w:val="%9"/>
      <w:lvlJc w:val="left"/>
      <w:pPr>
        <w:ind w:left="3918" w:hanging="440"/>
      </w:pPr>
    </w:lvl>
  </w:abstractNum>
  <w:abstractNum w:abstractNumId="3" w15:restartNumberingAfterBreak="0">
    <w:nsid w:val="6A0A4C68"/>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abstractNum w:abstractNumId="4" w15:restartNumberingAfterBreak="0">
    <w:nsid w:val="78E132DF"/>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num w:numId="1" w16cid:durableId="766118310">
    <w:abstractNumId w:val="0"/>
  </w:num>
  <w:num w:numId="2" w16cid:durableId="1417827168">
    <w:abstractNumId w:val="2"/>
  </w:num>
  <w:num w:numId="3" w16cid:durableId="1206529160">
    <w:abstractNumId w:val="1"/>
  </w:num>
  <w:num w:numId="4" w16cid:durableId="1517887595">
    <w:abstractNumId w:val="4"/>
  </w:num>
  <w:num w:numId="5" w16cid:durableId="2127498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2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B0"/>
    <w:rsid w:val="00024DEA"/>
    <w:rsid w:val="00032A2E"/>
    <w:rsid w:val="00033530"/>
    <w:rsid w:val="000D7F3B"/>
    <w:rsid w:val="001F6D9A"/>
    <w:rsid w:val="00211781"/>
    <w:rsid w:val="00212B90"/>
    <w:rsid w:val="00325AEB"/>
    <w:rsid w:val="00436276"/>
    <w:rsid w:val="00463DB1"/>
    <w:rsid w:val="004A6C13"/>
    <w:rsid w:val="00505277"/>
    <w:rsid w:val="00564126"/>
    <w:rsid w:val="005669BB"/>
    <w:rsid w:val="00617B2E"/>
    <w:rsid w:val="006D5FA1"/>
    <w:rsid w:val="0072643C"/>
    <w:rsid w:val="00787FD5"/>
    <w:rsid w:val="007D6E8A"/>
    <w:rsid w:val="0085799A"/>
    <w:rsid w:val="0087582D"/>
    <w:rsid w:val="00930DC3"/>
    <w:rsid w:val="0099579F"/>
    <w:rsid w:val="009A6A70"/>
    <w:rsid w:val="009F6EF1"/>
    <w:rsid w:val="00A91D73"/>
    <w:rsid w:val="00AB4849"/>
    <w:rsid w:val="00AC2A74"/>
    <w:rsid w:val="00AD41E0"/>
    <w:rsid w:val="00B1178F"/>
    <w:rsid w:val="00B52852"/>
    <w:rsid w:val="00BA6EF6"/>
    <w:rsid w:val="00BE6121"/>
    <w:rsid w:val="00C54AD5"/>
    <w:rsid w:val="00CD73B4"/>
    <w:rsid w:val="00CF6F7A"/>
    <w:rsid w:val="00D902E4"/>
    <w:rsid w:val="00DF19B0"/>
    <w:rsid w:val="00E31166"/>
    <w:rsid w:val="00E333FA"/>
    <w:rsid w:val="00EC2B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125160"/>
  <w15:chartTrackingRefBased/>
  <w15:docId w15:val="{735F75CD-7FD3-4352-9419-CCA03E83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19B0"/>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F19B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B1178F"/>
    <w:pPr>
      <w:tabs>
        <w:tab w:val="center" w:pos="4252"/>
        <w:tab w:val="right" w:pos="8504"/>
      </w:tabs>
      <w:snapToGrid w:val="0"/>
    </w:pPr>
  </w:style>
  <w:style w:type="paragraph" w:styleId="a5">
    <w:name w:val="footer"/>
    <w:basedOn w:val="a"/>
    <w:rsid w:val="00B1178F"/>
    <w:pPr>
      <w:tabs>
        <w:tab w:val="center" w:pos="4252"/>
        <w:tab w:val="right" w:pos="8504"/>
      </w:tabs>
      <w:snapToGrid w:val="0"/>
    </w:pPr>
  </w:style>
  <w:style w:type="character" w:styleId="a6">
    <w:name w:val="page number"/>
    <w:basedOn w:val="a0"/>
    <w:rsid w:val="00B1178F"/>
  </w:style>
  <w:style w:type="paragraph" w:styleId="a7">
    <w:name w:val="List Paragraph"/>
    <w:basedOn w:val="a"/>
    <w:uiPriority w:val="34"/>
    <w:qFormat/>
    <w:rsid w:val="00024DE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728</Words>
  <Characters>4155</Characters>
  <Application>Microsoft Office Word</Application>
  <DocSecurity>0</DocSecurity>
  <Lines>34</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〔＊受験番号　　　　　　　　　　〕</vt:lpstr>
      <vt:lpstr>〔＊受験番号　　　　　　　　　　〕</vt:lpstr>
    </vt:vector>
  </TitlesOfParts>
  <Company>日本福祉大学</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〔＊受験番号　　　　　　　　　　〕</dc:title>
  <dc:subject/>
  <dc:creator>情報ネットワーク課</dc:creator>
  <cp:keywords/>
  <dc:description/>
  <cp:lastModifiedBy>雄司 山内</cp:lastModifiedBy>
  <cp:revision>3</cp:revision>
  <cp:lastPrinted>2026-01-18T02:00:00Z</cp:lastPrinted>
  <dcterms:created xsi:type="dcterms:W3CDTF">2026-01-18T01:19:00Z</dcterms:created>
  <dcterms:modified xsi:type="dcterms:W3CDTF">2026-01-18T02:02:00Z</dcterms:modified>
</cp:coreProperties>
</file>