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黑体" w:hAnsi="黑体" w:eastAsia="黑体"/>
          <w:b/>
          <w:color w:val="000000"/>
          <w:sz w:val="44"/>
        </w:rPr>
        <w:t>基于目录约束和双档案遗传算法的</w:t>
      </w:r>
    </w:p>
    <w:p>
      <w:pPr>
        <w:spacing w:after="560"/>
        <w:jc w:val="center"/>
      </w:pPr>
      <w:r>
        <w:rPr>
          <w:rFonts w:ascii="黑体" w:hAnsi="黑体" w:eastAsia="黑体"/>
          <w:b/>
          <w:color w:val="000000"/>
          <w:sz w:val="40"/>
        </w:rPr>
        <w:t>三相油浸式变压器方案优化方法与实验设计示例</w:t>
      </w:r>
    </w:p>
    <w:p>
      <w:pPr>
        <w:spacing w:line="360" w:lineRule="auto" w:after="320"/>
        <w:jc w:val="center"/>
      </w:pPr>
      <w:r>
        <w:rPr>
          <w:rFonts w:ascii="宋体" w:hAnsi="宋体" w:eastAsia="宋体"/>
          <w:b w:val="0"/>
          <w:color w:val="000000"/>
          <w:sz w:val="26"/>
        </w:rPr>
        <w:t>论文示例稿</w:t>
      </w:r>
    </w:p>
    <w:p>
      <w:pPr>
        <w:spacing w:line="360" w:lineRule="auto" w:after="160"/>
        <w:jc w:val="center"/>
      </w:pPr>
      <w:r>
        <w:rPr>
          <w:rFonts w:ascii="宋体" w:hAnsi="宋体" w:eastAsia="宋体"/>
          <w:b w:val="0"/>
          <w:color w:val="000000"/>
          <w:sz w:val="21"/>
        </w:rPr>
        <w:t>面向后续真实验证的研究方案、方法规则与报告结构</w:t>
      </w:r>
    </w:p>
    <w:p>
      <w:pPr>
        <w:spacing w:line="360" w:lineRule="auto" w:after="920"/>
        <w:jc w:val="center"/>
      </w:pPr>
      <w:r>
        <w:rPr>
          <w:rFonts w:ascii="宋体" w:hAnsi="宋体" w:eastAsia="宋体"/>
          <w:b w:val="0"/>
          <w:color w:val="000000"/>
          <w:sz w:val="21"/>
        </w:rPr>
        <w:t>示例结果中的数值与样本均为虚构数据，正式使用时须由真实实验替换</w:t>
      </w:r>
    </w:p>
    <w:p>
      <w:pPr>
        <w:spacing w:line="360" w:lineRule="auto" w:after="0"/>
        <w:jc w:val="center"/>
      </w:pPr>
      <w:r>
        <w:rPr>
          <w:rFonts w:ascii="宋体" w:hAnsi="宋体" w:eastAsia="宋体"/>
          <w:b w:val="0"/>
          <w:color w:val="000000"/>
          <w:sz w:val="21"/>
        </w:rPr>
        <w:t>2026 年 9 月</w:t>
      </w:r>
    </w:p>
    <w:p>
      <w:pPr>
        <w:pStyle w:val="Heading1"/>
        <w:keepNext/>
        <w:pageBreakBefore/>
        <w:spacing w:before="320" w:after="140"/>
      </w:pPr>
      <w:r>
        <w:rPr>
          <w:rFonts w:ascii="黑体" w:hAnsi="黑体" w:eastAsia="黑体"/>
          <w:b/>
          <w:color w:val="000000"/>
          <w:sz w:val="30"/>
        </w:rPr>
        <w:t>摘要</w:t>
      </w:r>
    </w:p>
    <w:p>
      <w:pPr>
        <w:spacing w:line="360" w:lineRule="auto" w:after="120"/>
        <w:ind w:firstLine="420"/>
      </w:pPr>
      <w:r>
        <w:rPr>
          <w:rFonts w:ascii="宋体" w:hAnsi="宋体" w:eastAsia="宋体"/>
          <w:b w:val="0"/>
          <w:color w:val="000000"/>
          <w:sz w:val="21"/>
        </w:rPr>
        <w:t>本文为后续实证研究准备的方法与实验设计示例稿，并非已经完成实验验证的投稿论文。三相油浸式变压器的方案优化同时受到电磁性能、温升、制造工艺和材料规格的约束。与连续变量优化不同，铁芯、导线和冷却部件通常只能从已有目录中整体选取，且部分设计变量之间存在明确的制造依赖关系。若优化过程将不同记录的尺寸或工艺属性自由拼接，所得方案即使在数学上可计算，也可能无法采购或制造。为使后续实验能够复核，本文定义一套面向离散规格目录的可追溯遗传优化研究框架：以完整规格记录作为候选的基本单位，采用系统化覆盖、相似历史方案和随机探索共同构造初始种群；以严格可行档案和近可行档案分别保存满足约束的方案与接近约束边界的方案；以参数块交叉和约束诊断规则扩展搜索。</w:t>
      </w:r>
    </w:p>
    <w:p>
      <w:pPr>
        <w:spacing w:line="360" w:lineRule="auto" w:after="120"/>
        <w:ind w:firstLine="420"/>
      </w:pPr>
      <w:r>
        <w:rPr>
          <w:rFonts w:ascii="宋体" w:hAnsi="宋体" w:eastAsia="宋体"/>
          <w:b w:val="0"/>
          <w:color w:val="000000"/>
          <w:sz w:val="21"/>
        </w:rPr>
        <w:t>本文同时记录当前原型的运行规则、工程精算接口、成本口径和比较控制变量，并给出工程计算一致性验证、相同精算预算下的基线比较、多随机种子统计、失败运行处理和模块消融的实验设计。文中结果图表均为虚构数据，仅用于展示正式实验应如何记录、比较与解释结果，不构成该框架已经优于其他方法或已经获得工程最优方案的证据。</w:t>
      </w:r>
    </w:p>
    <w:p>
      <w:r>
        <w:rPr>
          <w:rFonts w:ascii="宋体" w:hAnsi="宋体" w:eastAsia="宋体"/>
          <w:b/>
          <w:color w:val="000000"/>
          <w:sz w:val="21"/>
        </w:rPr>
        <w:t>关键词：</w:t>
      </w:r>
      <w:r>
        <w:rPr>
          <w:rFonts w:ascii="宋体" w:hAnsi="宋体" w:eastAsia="宋体"/>
          <w:b w:val="0"/>
          <w:color w:val="000000"/>
          <w:sz w:val="21"/>
        </w:rPr>
        <w:t>三相变压器；离散优化；遗传算法；约束处理；工程设计</w:t>
      </w:r>
    </w:p>
    <w:p>
      <w:pPr>
        <w:pStyle w:val="Heading1"/>
        <w:keepNext/>
        <w:pageBreakBefore/>
        <w:spacing w:before="320" w:after="140"/>
      </w:pPr>
      <w:r>
        <w:rPr>
          <w:rFonts w:ascii="黑体" w:hAnsi="黑体" w:eastAsia="黑体"/>
          <w:b/>
          <w:color w:val="000000"/>
          <w:sz w:val="30"/>
        </w:rPr>
        <w:t>Abstract</w:t>
      </w:r>
    </w:p>
    <w:p>
      <w:pPr>
        <w:spacing w:line="360" w:lineRule="auto" w:after="120"/>
      </w:pPr>
      <w:r>
        <w:rPr>
          <w:rFonts w:ascii="宋体" w:hAnsi="宋体" w:eastAsia="宋体"/>
          <w:b w:val="0"/>
          <w:color w:val="000000"/>
          <w:sz w:val="21"/>
        </w:rPr>
        <w:t>This manuscript is a method-and-experimental-design example prepared for a subsequent empirical study; it is not a completed validation paper. Three-phase oil-immersed transformer design is a constrained discrete optimization problem in which core, conductor, and cooling components must be selected as complete catalogue records. The manuscript defines a traceable genetic optimization research framework combining systematic initialization, similar historical cases, random exploration, dual archives, block crossover, and diagnostic-guided mutation. It also specifies the current operational rules, engineering-evaluation interface, cost scope, and a reproducible experimental protocol including consistency checks, fixed evaluation budgets, multi-seed statistics, failure handling, and ablation. All numerical values in the example figures and tables are synthetic and illustrate reporting structure only; they do not establish algorithmic superiority or engineering optimality.</w:t>
      </w:r>
    </w:p>
    <w:p>
      <w:r>
        <w:rPr>
          <w:rFonts w:ascii="宋体" w:hAnsi="宋体" w:eastAsia="宋体"/>
          <w:b/>
          <w:color w:val="000000"/>
          <w:sz w:val="21"/>
        </w:rPr>
        <w:t xml:space="preserve">Key words: </w:t>
      </w:r>
      <w:r>
        <w:rPr>
          <w:rFonts w:ascii="宋体" w:hAnsi="宋体" w:eastAsia="宋体"/>
          <w:b w:val="0"/>
          <w:color w:val="000000"/>
          <w:sz w:val="21"/>
        </w:rPr>
        <w:t>three-phase transformer; discrete optimization; genetic algorithm; constrained design; traceability</w:t>
      </w:r>
    </w:p>
    <w:p>
      <w:pPr>
        <w:pageBreakBefore/>
        <w:jc w:val="center"/>
      </w:pPr>
      <w:r>
        <w:rPr>
          <w:rFonts w:ascii="黑体" w:hAnsi="黑体" w:eastAsia="黑体"/>
          <w:b/>
          <w:color w:val="000000"/>
          <w:sz w:val="32"/>
        </w:rPr>
        <w:t>目录</w:t>
      </w:r>
    </w:p>
    <w:p>
      <w:pPr>
        <w:tabs>
          <w:tab w:pos="8702" w:val="right" w:leader="dot"/>
        </w:tabs>
        <w:spacing w:after="80"/>
      </w:pPr>
      <w:r>
        <w:rPr>
          <w:rFonts w:ascii="宋体" w:hAnsi="宋体" w:eastAsia="宋体"/>
          <w:b w:val="0"/>
          <w:color w:val="000000"/>
          <w:sz w:val="21"/>
        </w:rPr>
        <w:t>摘要</w:t>
        <w:tab/>
        <w:t>2</w:t>
      </w:r>
    </w:p>
    <w:p>
      <w:pPr>
        <w:tabs>
          <w:tab w:pos="8702" w:val="right" w:leader="dot"/>
        </w:tabs>
        <w:spacing w:after="80"/>
      </w:pPr>
      <w:r>
        <w:rPr>
          <w:rFonts w:ascii="宋体" w:hAnsi="宋体" w:eastAsia="宋体"/>
          <w:b w:val="0"/>
          <w:color w:val="000000"/>
          <w:sz w:val="21"/>
        </w:rPr>
        <w:t>Abstract</w:t>
        <w:tab/>
        <w:t>3</w:t>
      </w:r>
    </w:p>
    <w:p>
      <w:pPr>
        <w:tabs>
          <w:tab w:pos="8702" w:val="right" w:leader="dot"/>
        </w:tabs>
        <w:spacing w:after="80"/>
      </w:pPr>
      <w:r>
        <w:rPr>
          <w:rFonts w:ascii="宋体" w:hAnsi="宋体" w:eastAsia="宋体"/>
          <w:b w:val="0"/>
          <w:color w:val="000000"/>
          <w:sz w:val="21"/>
        </w:rPr>
        <w:t>1 引言</w:t>
        <w:tab/>
        <w:t>5</w:t>
      </w:r>
    </w:p>
    <w:p>
      <w:pPr>
        <w:tabs>
          <w:tab w:pos="8702" w:val="right" w:leader="dot"/>
        </w:tabs>
        <w:spacing w:after="80"/>
      </w:pPr>
      <w:r>
        <w:rPr>
          <w:rFonts w:ascii="宋体" w:hAnsi="宋体" w:eastAsia="宋体"/>
          <w:b w:val="0"/>
          <w:color w:val="000000"/>
          <w:sz w:val="21"/>
        </w:rPr>
        <w:t>2 优化问题与候选表示</w:t>
        <w:tab/>
        <w:t>6</w:t>
      </w:r>
    </w:p>
    <w:p>
      <w:pPr>
        <w:tabs>
          <w:tab w:pos="8702" w:val="right" w:leader="dot"/>
        </w:tabs>
        <w:spacing w:after="80"/>
      </w:pPr>
      <w:r>
        <w:rPr>
          <w:rFonts w:ascii="宋体" w:hAnsi="宋体" w:eastAsia="宋体"/>
          <w:b w:val="0"/>
          <w:color w:val="000000"/>
          <w:sz w:val="21"/>
        </w:rPr>
        <w:t>3 遗传优化方法</w:t>
        <w:tab/>
        <w:t>8</w:t>
      </w:r>
    </w:p>
    <w:p>
      <w:pPr>
        <w:tabs>
          <w:tab w:pos="8702" w:val="right" w:leader="dot"/>
        </w:tabs>
        <w:spacing w:after="80"/>
      </w:pPr>
      <w:r>
        <w:rPr>
          <w:rFonts w:ascii="宋体" w:hAnsi="宋体" w:eastAsia="宋体"/>
          <w:b w:val="0"/>
          <w:color w:val="000000"/>
          <w:sz w:val="21"/>
        </w:rPr>
        <w:t>4 实验设计与评价方法</w:t>
        <w:tab/>
        <w:t>11</w:t>
      </w:r>
    </w:p>
    <w:p>
      <w:pPr>
        <w:tabs>
          <w:tab w:pos="8702" w:val="right" w:leader="dot"/>
        </w:tabs>
        <w:spacing w:after="80"/>
      </w:pPr>
      <w:r>
        <w:rPr>
          <w:rFonts w:ascii="宋体" w:hAnsi="宋体" w:eastAsia="宋体"/>
          <w:b w:val="0"/>
          <w:color w:val="000000"/>
          <w:sz w:val="21"/>
        </w:rPr>
        <w:t>5 示例结果与分析写法</w:t>
        <w:tab/>
        <w:t>13</w:t>
      </w:r>
    </w:p>
    <w:p>
      <w:pPr>
        <w:tabs>
          <w:tab w:pos="8702" w:val="right" w:leader="dot"/>
        </w:tabs>
        <w:spacing w:after="80"/>
      </w:pPr>
      <w:r>
        <w:rPr>
          <w:rFonts w:ascii="宋体" w:hAnsi="宋体" w:eastAsia="宋体"/>
          <w:b w:val="0"/>
          <w:color w:val="000000"/>
          <w:sz w:val="21"/>
        </w:rPr>
        <w:t>6 讨论与结论</w:t>
        <w:tab/>
        <w:t>15</w:t>
      </w:r>
    </w:p>
    <w:p>
      <w:pPr>
        <w:tabs>
          <w:tab w:pos="8702" w:val="right" w:leader="dot"/>
        </w:tabs>
        <w:spacing w:after="80"/>
      </w:pPr>
      <w:r>
        <w:rPr>
          <w:rFonts w:ascii="宋体" w:hAnsi="宋体" w:eastAsia="宋体"/>
          <w:b w:val="0"/>
          <w:color w:val="000000"/>
          <w:sz w:val="21"/>
        </w:rPr>
        <w:t>参考文献</w:t>
        <w:tab/>
        <w:t>16</w:t>
      </w:r>
    </w:p>
    <w:p>
      <w:pPr>
        <w:tabs>
          <w:tab w:pos="8702" w:val="right" w:leader="dot"/>
        </w:tabs>
        <w:spacing w:after="80"/>
      </w:pPr>
      <w:r>
        <w:rPr>
          <w:rFonts w:ascii="宋体" w:hAnsi="宋体" w:eastAsia="宋体"/>
          <w:b w:val="0"/>
          <w:color w:val="000000"/>
          <w:sz w:val="21"/>
        </w:rPr>
        <w:t>附录 建议的数据记录规范</w:t>
        <w:tab/>
        <w:t>17</w:t>
      </w:r>
    </w:p>
    <w:p>
      <w:pPr>
        <w:pStyle w:val="Heading1"/>
        <w:keepNext/>
        <w:pageBreakBefore/>
        <w:spacing w:before="320" w:after="140"/>
      </w:pPr>
      <w:r>
        <w:rPr>
          <w:rFonts w:ascii="黑体" w:hAnsi="黑体" w:eastAsia="黑体"/>
          <w:b/>
          <w:color w:val="000000"/>
          <w:sz w:val="30"/>
        </w:rPr>
        <w:t>1 引言</w:t>
      </w:r>
    </w:p>
    <w:p>
      <w:pPr>
        <w:spacing w:line="360" w:lineRule="auto" w:after="120"/>
        <w:ind w:firstLine="420"/>
      </w:pPr>
      <w:r>
        <w:rPr>
          <w:rFonts w:ascii="宋体" w:hAnsi="宋体" w:eastAsia="宋体"/>
          <w:b w:val="0"/>
          <w:color w:val="000000"/>
          <w:sz w:val="21"/>
        </w:rPr>
        <w:t>配电变压器的方案设计并不是在一个连续空间中任意调整尺寸。工程人员需要在满足额定容量、电压等级、损耗、阻抗、温升和绝缘要求的前提下，从可用材料、导线、铁芯和冷却结构中组合出可制造的完整方案。传统的经验设计能够快速给出可行起点，但当可选规格增多、约束彼此耦合时，单纯依靠人工试算很难系统比较大量组合。遗传算法适合处理这类离散组合问题，但约束处理和离散编码必须避免破坏工程对象[1-3]。</w:t>
      </w:r>
    </w:p>
    <w:p>
      <w:pPr>
        <w:spacing w:line="360" w:lineRule="auto" w:after="120"/>
        <w:ind w:firstLine="420"/>
      </w:pPr>
      <w:r>
        <w:rPr>
          <w:rFonts w:ascii="宋体" w:hAnsi="宋体" w:eastAsia="宋体"/>
          <w:b w:val="0"/>
          <w:color w:val="000000"/>
          <w:sz w:val="21"/>
        </w:rPr>
        <w:t>本文关注的不是把某几个几何数字交给遗传算法自由变化，而是在“只能选择真实存在的规格记录”这一前提下进行搜索。以扁导线为例，宽度和厚度并非两个可独立重组的数值；它们与导线材料、绝缘结构和工艺属性共同属于一条规格记录。不同导线类别也可能对应不同的材料与绝缘属性。因此，候选方案在生成、交叉和变异时都必须保持记录完整，不能产生目录中不存在的假规格。</w:t>
      </w:r>
    </w:p>
    <w:p>
      <w:pPr>
        <w:spacing w:line="360" w:lineRule="auto" w:after="120"/>
        <w:ind w:firstLine="420"/>
      </w:pPr>
      <w:r>
        <w:rPr>
          <w:rFonts w:ascii="宋体" w:hAnsi="宋体" w:eastAsia="宋体"/>
          <w:b w:val="0"/>
          <w:color w:val="000000"/>
          <w:sz w:val="21"/>
        </w:rPr>
        <w:t>已有约束遗传算法研究主要讨论可行性处理、交叉和变异的一般原则[1-3]，变压器设计优化研究则提示材料、损耗、重量及电气性能的耦合会使结果对建模与比较口径高度敏感[4]。本文不据此宣称既有方法不能处理目录约束；本文提出的待验证问题是：当设计对象只能按完整规格记录选取，且一次工程评价代价较高时，如何把候选表示、合法性检查、近可行信息和运行轨迹放入同一套可比较的实验框架。</w:t>
      </w:r>
    </w:p>
    <w:p>
      <w:pPr>
        <w:pStyle w:val="ListBullet"/>
        <w:spacing w:after="60" w:line="300" w:lineRule="auto"/>
      </w:pPr>
      <w:r>
        <w:rPr>
          <w:rFonts w:ascii="宋体" w:hAnsi="宋体" w:eastAsia="宋体"/>
          <w:b w:val="0"/>
          <w:color w:val="000000"/>
          <w:sz w:val="20"/>
        </w:rPr>
        <w:t>定义以完整规格记录为基本单位的离散候选表示，避免导线、铁芯和冷却对象在搜索过程中被拆分重组。</w:t>
      </w:r>
    </w:p>
    <w:p>
      <w:pPr>
        <w:pStyle w:val="ListBullet"/>
        <w:spacing w:after="60" w:line="300" w:lineRule="auto"/>
      </w:pPr>
      <w:r>
        <w:rPr>
          <w:rFonts w:ascii="宋体" w:hAnsi="宋体" w:eastAsia="宋体"/>
          <w:b w:val="0"/>
          <w:color w:val="000000"/>
          <w:sz w:val="20"/>
        </w:rPr>
        <w:t>规定覆盖、经验和随机探索相结合的初始化策略，以及严格可行/近可行双档案规则，供后续实验检验其是否有助于搜索。</w:t>
      </w:r>
    </w:p>
    <w:p>
      <w:pPr>
        <w:pStyle w:val="ListBullet"/>
        <w:spacing w:after="60" w:line="300" w:lineRule="auto"/>
      </w:pPr>
      <w:r>
        <w:rPr>
          <w:rFonts w:ascii="宋体" w:hAnsi="宋体" w:eastAsia="宋体"/>
          <w:b w:val="0"/>
          <w:color w:val="000000"/>
          <w:sz w:val="20"/>
        </w:rPr>
        <w:t>给出一套面向昂贵工程精算的实验口径，明确比较预算、统计单位、失败运行和消融实验的处理方式。</w:t>
      </w:r>
    </w:p>
    <w:p>
      <w:pPr>
        <w:spacing w:line="360" w:lineRule="auto" w:after="120"/>
        <w:ind w:firstLine="420"/>
      </w:pPr>
      <w:r>
        <w:rPr>
          <w:rFonts w:ascii="宋体" w:hAnsi="宋体" w:eastAsia="宋体"/>
          <w:b w:val="0"/>
          <w:color w:val="000000"/>
          <w:sz w:val="21"/>
        </w:rPr>
        <w:t>需要说明的是，本文是一篇可替换真实数据的示例稿。第 3 节记录的是当前原型的可执行规则和待验证工程先验，不等同于已经证明的学术创新；第 5 节示例结果仅用于展示论文应呈现的证据链，不能作为算法优越性或工程最优性的结论。</w:t>
      </w:r>
    </w:p>
    <w:p>
      <w:pPr>
        <w:pStyle w:val="Heading1"/>
        <w:keepNext/>
        <w:pageBreakBefore/>
        <w:spacing w:before="320" w:after="140"/>
      </w:pPr>
      <w:r>
        <w:rPr>
          <w:rFonts w:ascii="黑体" w:hAnsi="黑体" w:eastAsia="黑体"/>
          <w:b/>
          <w:color w:val="000000"/>
          <w:sz w:val="30"/>
        </w:rPr>
        <w:t>2 优化问题与候选表示</w:t>
      </w:r>
    </w:p>
    <w:p>
      <w:pPr>
        <w:pStyle w:val="Heading2"/>
        <w:keepNext/>
        <w:spacing w:before="200" w:after="140"/>
      </w:pPr>
      <w:r>
        <w:rPr>
          <w:rFonts w:ascii="黑体" w:hAnsi="黑体" w:eastAsia="黑体"/>
          <w:b/>
          <w:color w:val="000000"/>
          <w:sz w:val="24"/>
        </w:rPr>
        <w:t>2.1 设计目标与约束</w:t>
      </w:r>
    </w:p>
    <w:p>
      <w:pPr>
        <w:spacing w:line="360" w:lineRule="auto" w:after="120"/>
        <w:ind w:firstLine="420"/>
      </w:pPr>
      <w:r>
        <w:rPr>
          <w:rFonts w:ascii="宋体" w:hAnsi="宋体" w:eastAsia="宋体"/>
          <w:b w:val="0"/>
          <w:color w:val="000000"/>
          <w:sz w:val="21"/>
        </w:rPr>
        <w:t>设 x=(c,l,h,k,z) 为一条完整候选：c、l、h 和 k 分别代表铁芯、低压绕组、高压绕组和冷却结构的完整规格记录；z 为仅在相应记录下才有意义的离散依赖变量，如匝数、层数或局部几何档位。令 Ω(q,D) 为由设计要求 q 和规格目录 D 共同确定的合法候选域。这里的“合法”首先指每个对象均可还原为完整目录记录，其次指 z 与所选对象满足制造和设计依赖关系。</w:t>
      </w:r>
    </w:p>
    <w:p>
      <w:pPr>
        <w:spacing w:line="360" w:lineRule="auto" w:after="120"/>
        <w:ind w:firstLine="420"/>
      </w:pPr>
      <w:r>
        <w:rPr>
          <w:rFonts w:ascii="宋体" w:hAnsi="宋体" w:eastAsia="宋体"/>
          <w:b w:val="0"/>
          <w:color w:val="000000"/>
          <w:sz w:val="21"/>
        </w:rPr>
        <w:t>工程精算器 E(x) 返回性能向量 y(x) 和成本 C(x)，其中 y(x) 至少包含损耗、阻抗、温升、重量及各项约束余量。本文的优化问题写为：min C(x)，s.t. x∈Ω(q,D)，gᵢ(E(x),q)≤0，i=1,…,m。gᵢ 表示性能、热工、绝缘和制造等硬约束的判定函数。严格可行集合 F={x∈Ω｜所有 gᵢ≤0}；最终成本比较只在 F 内进行。工程计算器负责给出定量结果，遗传算法只负责提出、筛选和迭代候选。</w:t>
      </w:r>
    </w:p>
    <w:p>
      <w:pPr>
        <w:spacing w:before="160" w:after="80"/>
      </w:pPr>
      <w:r>
        <w:rPr>
          <w:rFonts w:ascii="宋体" w:hAnsi="宋体" w:eastAsia="宋体"/>
          <w:b/>
          <w:color w:val="000000"/>
          <w:sz w:val="19"/>
        </w:rPr>
        <w:t>表 1  优化模型中需要区分的对象</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814"/>
            <w:vAlign w:val="center"/>
            <w:shd w:fill="1F4E79"/>
            <w:tcBorders>
              <w:top w:val="single" w:sz="6" w:color="D9D9D9"/>
              <w:left w:val="single" w:sz="6" w:color="D9D9D9"/>
              <w:bottom w:val="single" w:sz="6" w:color="D9D9D9"/>
              <w:right w:val="single" w:sz="6" w:color="D9D9D9"/>
            </w:tcBorders>
          </w:tcPr>
          <w:p>
            <w:pPr>
              <w:jc w:val="center"/>
            </w:pPr>
            <w:r>
              <w:rPr>
                <w:rFonts w:ascii="黑体" w:hAnsi="黑体" w:eastAsia="黑体"/>
                <w:b/>
                <w:color w:val="FFFFFF"/>
                <w:sz w:val="16"/>
              </w:rPr>
              <w:t>对象</w:t>
            </w:r>
          </w:p>
        </w:tc>
        <w:tc>
          <w:tcPr>
            <w:tcW w:type="dxa" w:w="3402"/>
            <w:vAlign w:val="center"/>
            <w:shd w:fill="1F4E79"/>
            <w:tcBorders>
              <w:top w:val="single" w:sz="6" w:color="D9D9D9"/>
              <w:left w:val="single" w:sz="6" w:color="D9D9D9"/>
              <w:bottom w:val="single" w:sz="6" w:color="D9D9D9"/>
              <w:right w:val="single" w:sz="6" w:color="D9D9D9"/>
            </w:tcBorders>
          </w:tcPr>
          <w:p>
            <w:pPr>
              <w:jc w:val="center"/>
            </w:pPr>
            <w:r>
              <w:rPr>
                <w:rFonts w:ascii="黑体" w:hAnsi="黑体" w:eastAsia="黑体"/>
                <w:b/>
                <w:color w:val="FFFFFF"/>
                <w:sz w:val="16"/>
              </w:rPr>
              <w:t>论文中的作用</w:t>
            </w:r>
          </w:p>
        </w:tc>
        <w:tc>
          <w:tcPr>
            <w:tcW w:type="dxa" w:w="4195"/>
            <w:vAlign w:val="center"/>
            <w:shd w:fill="1F4E79"/>
            <w:tcBorders>
              <w:top w:val="single" w:sz="6" w:color="D9D9D9"/>
              <w:left w:val="single" w:sz="6" w:color="D9D9D9"/>
              <w:bottom w:val="single" w:sz="6" w:color="D9D9D9"/>
              <w:right w:val="single" w:sz="6" w:color="D9D9D9"/>
            </w:tcBorders>
          </w:tcPr>
          <w:p>
            <w:pPr>
              <w:jc w:val="center"/>
            </w:pPr>
            <w:r>
              <w:rPr>
                <w:rFonts w:ascii="黑体" w:hAnsi="黑体" w:eastAsia="黑体"/>
                <w:b/>
                <w:color w:val="FFFFFF"/>
                <w:sz w:val="16"/>
              </w:rPr>
              <w:t>不能省略的约束</w:t>
            </w:r>
          </w:p>
        </w:tc>
      </w:tr>
      <w:tr>
        <w:tc>
          <w:tcPr>
            <w:tcW w:type="dxa" w:w="1814"/>
            <w:vAlign w:val="center"/>
            <w:tcBorders>
              <w:top w:val="single" w:sz="6" w:color="D9D9D9"/>
              <w:left w:val="single" w:sz="6" w:color="D9D9D9"/>
              <w:bottom w:val="single" w:sz="6" w:color="D9D9D9"/>
              <w:right w:val="single" w:sz="6" w:color="D9D9D9"/>
            </w:tcBorders>
          </w:tcPr>
          <w:p>
            <w:pPr>
              <w:jc w:val="left"/>
            </w:pPr>
            <w:r>
              <w:rPr>
                <w:rFonts w:ascii="宋体" w:hAnsi="宋体" w:eastAsia="宋体"/>
                <w:b w:val="0"/>
                <w:color w:val="000000"/>
                <w:sz w:val="16"/>
              </w:rPr>
              <w:t>完整规格记录</w:t>
            </w:r>
          </w:p>
        </w:tc>
        <w:tc>
          <w:tcPr>
            <w:tcW w:type="dxa" w:w="3402"/>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候选的离散决策单元</w:t>
            </w:r>
          </w:p>
        </w:tc>
        <w:tc>
          <w:tcPr>
            <w:tcW w:type="dxa" w:w="4195"/>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必须可映射至真实可用规格，不能拆分重组</w:t>
            </w:r>
          </w:p>
        </w:tc>
      </w:tr>
      <w:tr>
        <w:tc>
          <w:tcPr>
            <w:tcW w:type="dxa" w:w="1814"/>
            <w:vAlign w:val="center"/>
            <w:tcBorders>
              <w:top w:val="single" w:sz="6" w:color="D9D9D9"/>
              <w:left w:val="single" w:sz="6" w:color="D9D9D9"/>
              <w:bottom w:val="single" w:sz="6" w:color="D9D9D9"/>
              <w:right w:val="single" w:sz="6" w:color="D9D9D9"/>
            </w:tcBorders>
            <w:shd w:fill="F4F7FA"/>
          </w:tcPr>
          <w:p>
            <w:pPr>
              <w:jc w:val="left"/>
            </w:pPr>
            <w:r>
              <w:rPr>
                <w:rFonts w:ascii="宋体" w:hAnsi="宋体" w:eastAsia="宋体"/>
                <w:b w:val="0"/>
                <w:color w:val="000000"/>
                <w:sz w:val="16"/>
              </w:rPr>
              <w:t>工程精算结果</w:t>
            </w:r>
          </w:p>
        </w:tc>
        <w:tc>
          <w:tcPr>
            <w:tcW w:type="dxa" w:w="3402"/>
            <w:vAlign w:val="center"/>
            <w:tcBorders>
              <w:top w:val="single" w:sz="6" w:color="D9D9D9"/>
              <w:left w:val="single" w:sz="6" w:color="D9D9D9"/>
              <w:bottom w:val="single" w:sz="6" w:color="D9D9D9"/>
              <w:right w:val="single" w:sz="6" w:color="D9D9D9"/>
            </w:tcBorders>
            <w:shd w:fill="F4F7FA"/>
          </w:tcPr>
          <w:p>
            <w:pPr>
              <w:jc w:val="center"/>
            </w:pPr>
            <w:r>
              <w:rPr>
                <w:rFonts w:ascii="宋体" w:hAnsi="宋体" w:eastAsia="宋体"/>
                <w:b w:val="0"/>
                <w:color w:val="000000"/>
                <w:sz w:val="16"/>
              </w:rPr>
              <w:t>性能和成本的唯一评价来源</w:t>
            </w:r>
          </w:p>
        </w:tc>
        <w:tc>
          <w:tcPr>
            <w:tcW w:type="dxa" w:w="4195"/>
            <w:vAlign w:val="center"/>
            <w:tcBorders>
              <w:top w:val="single" w:sz="6" w:color="D9D9D9"/>
              <w:left w:val="single" w:sz="6" w:color="D9D9D9"/>
              <w:bottom w:val="single" w:sz="6" w:color="D9D9D9"/>
              <w:right w:val="single" w:sz="6" w:color="D9D9D9"/>
            </w:tcBorders>
            <w:shd w:fill="F4F7FA"/>
          </w:tcPr>
          <w:p>
            <w:pPr>
              <w:jc w:val="center"/>
            </w:pPr>
            <w:r>
              <w:rPr>
                <w:rFonts w:ascii="宋体" w:hAnsi="宋体" w:eastAsia="宋体"/>
                <w:b w:val="0"/>
                <w:color w:val="000000"/>
                <w:sz w:val="16"/>
              </w:rPr>
              <w:t>同一输入应得到可复核的输出</w:t>
            </w:r>
          </w:p>
        </w:tc>
      </w:tr>
      <w:tr>
        <w:tc>
          <w:tcPr>
            <w:tcW w:type="dxa" w:w="1814"/>
            <w:vAlign w:val="center"/>
            <w:tcBorders>
              <w:top w:val="single" w:sz="6" w:color="D9D9D9"/>
              <w:left w:val="single" w:sz="6" w:color="D9D9D9"/>
              <w:bottom w:val="single" w:sz="6" w:color="D9D9D9"/>
              <w:right w:val="single" w:sz="6" w:color="D9D9D9"/>
            </w:tcBorders>
          </w:tcPr>
          <w:p>
            <w:pPr>
              <w:jc w:val="left"/>
            </w:pPr>
            <w:r>
              <w:rPr>
                <w:rFonts w:ascii="宋体" w:hAnsi="宋体" w:eastAsia="宋体"/>
                <w:b w:val="0"/>
                <w:color w:val="000000"/>
                <w:sz w:val="16"/>
              </w:rPr>
              <w:t>严格可行方案</w:t>
            </w:r>
          </w:p>
        </w:tc>
        <w:tc>
          <w:tcPr>
            <w:tcW w:type="dxa" w:w="3402"/>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最终候选与成本比较对象</w:t>
            </w:r>
          </w:p>
        </w:tc>
        <w:tc>
          <w:tcPr>
            <w:tcW w:type="dxa" w:w="4195"/>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全部硬约束满足</w:t>
            </w:r>
          </w:p>
        </w:tc>
      </w:tr>
      <w:tr>
        <w:tc>
          <w:tcPr>
            <w:tcW w:type="dxa" w:w="1814"/>
            <w:vAlign w:val="center"/>
            <w:tcBorders>
              <w:top w:val="single" w:sz="6" w:color="D9D9D9"/>
              <w:left w:val="single" w:sz="6" w:color="D9D9D9"/>
              <w:bottom w:val="single" w:sz="6" w:color="D9D9D9"/>
              <w:right w:val="single" w:sz="6" w:color="D9D9D9"/>
            </w:tcBorders>
            <w:shd w:fill="F4F7FA"/>
          </w:tcPr>
          <w:p>
            <w:pPr>
              <w:jc w:val="left"/>
            </w:pPr>
            <w:r>
              <w:rPr>
                <w:rFonts w:ascii="宋体" w:hAnsi="宋体" w:eastAsia="宋体"/>
                <w:b w:val="0"/>
                <w:color w:val="000000"/>
                <w:sz w:val="16"/>
              </w:rPr>
              <w:t>近可行方案</w:t>
            </w:r>
          </w:p>
        </w:tc>
        <w:tc>
          <w:tcPr>
            <w:tcW w:type="dxa" w:w="3402"/>
            <w:vAlign w:val="center"/>
            <w:tcBorders>
              <w:top w:val="single" w:sz="6" w:color="D9D9D9"/>
              <w:left w:val="single" w:sz="6" w:color="D9D9D9"/>
              <w:bottom w:val="single" w:sz="6" w:color="D9D9D9"/>
              <w:right w:val="single" w:sz="6" w:color="D9D9D9"/>
            </w:tcBorders>
            <w:shd w:fill="F4F7FA"/>
          </w:tcPr>
          <w:p>
            <w:pPr>
              <w:jc w:val="center"/>
            </w:pPr>
            <w:r>
              <w:rPr>
                <w:rFonts w:ascii="宋体" w:hAnsi="宋体" w:eastAsia="宋体"/>
                <w:b w:val="0"/>
                <w:color w:val="000000"/>
                <w:sz w:val="16"/>
              </w:rPr>
              <w:t>搜索过程中的边界信息</w:t>
            </w:r>
          </w:p>
        </w:tc>
        <w:tc>
          <w:tcPr>
            <w:tcW w:type="dxa" w:w="4195"/>
            <w:vAlign w:val="center"/>
            <w:tcBorders>
              <w:top w:val="single" w:sz="6" w:color="D9D9D9"/>
              <w:left w:val="single" w:sz="6" w:color="D9D9D9"/>
              <w:bottom w:val="single" w:sz="6" w:color="D9D9D9"/>
              <w:right w:val="single" w:sz="6" w:color="D9D9D9"/>
            </w:tcBorders>
            <w:shd w:fill="F4F7FA"/>
          </w:tcPr>
          <w:p>
            <w:pPr>
              <w:jc w:val="center"/>
            </w:pPr>
            <w:r>
              <w:rPr>
                <w:rFonts w:ascii="宋体" w:hAnsi="宋体" w:eastAsia="宋体"/>
                <w:b w:val="0"/>
                <w:color w:val="000000"/>
                <w:sz w:val="16"/>
              </w:rPr>
              <w:t>仅用于引导搜索，不代替最终方案</w:t>
            </w:r>
          </w:p>
        </w:tc>
      </w:tr>
    </w:tbl>
    <w:p>
      <w:pPr>
        <w:spacing w:after="40"/>
      </w:pPr>
    </w:p>
    <w:p>
      <w:pPr>
        <w:pStyle w:val="Heading2"/>
        <w:keepNext/>
        <w:spacing w:before="200" w:after="140"/>
      </w:pPr>
      <w:r>
        <w:rPr>
          <w:rFonts w:ascii="黑体" w:hAnsi="黑体" w:eastAsia="黑体"/>
          <w:b/>
          <w:color w:val="000000"/>
          <w:sz w:val="24"/>
        </w:rPr>
        <w:t>2.2 完整规格记录与条件依赖</w:t>
      </w:r>
    </w:p>
    <w:p>
      <w:r>
        <w:drawing>
          <wp:inline xmlns:a="http://schemas.openxmlformats.org/drawingml/2006/main" xmlns:pic="http://schemas.openxmlformats.org/drawingml/2006/picture">
            <wp:extent cx="5544000" cy="2538568"/>
            <wp:docPr id="1" name="Picture 1" descr="铁芯、低压绕组、高压绕组和冷却结构共同组成完整候选，随后进行合法性检查。" title="铁芯、低压绕组、高压绕组和冷却结构共同组成完整候选，随后进行合法性检查。"/>
            <wp:cNvGraphicFramePr>
              <a:graphicFrameLocks noChangeAspect="1"/>
            </wp:cNvGraphicFramePr>
            <a:graphic>
              <a:graphicData uri="http://schemas.openxmlformats.org/drawingml/2006/picture">
                <pic:pic>
                  <pic:nvPicPr>
                    <pic:cNvPr id="0" name="图2_候选构成.png"/>
                    <pic:cNvPicPr/>
                  </pic:nvPicPr>
                  <pic:blipFill>
                    <a:blip r:embed="rId11"/>
                    <a:stretch>
                      <a:fillRect/>
                    </a:stretch>
                  </pic:blipFill>
                  <pic:spPr>
                    <a:xfrm>
                      <a:off x="0" y="0"/>
                      <a:ext cx="5544000" cy="2538568"/>
                    </a:xfrm>
                    <a:prstGeom prst="rect"/>
                  </pic:spPr>
                </pic:pic>
              </a:graphicData>
            </a:graphic>
          </wp:inline>
        </w:drawing>
      </w:r>
    </w:p>
    <w:p>
      <w:pPr>
        <w:spacing w:after="180"/>
        <w:jc w:val="center"/>
      </w:pPr>
      <w:r>
        <w:rPr>
          <w:rFonts w:ascii="宋体" w:hAnsi="宋体" w:eastAsia="宋体"/>
          <w:b w:val="0"/>
          <w:color w:val="000000"/>
          <w:sz w:val="18"/>
        </w:rPr>
        <w:t>图 1  候选方案的四类完整对象及合法性检查。</w:t>
      </w:r>
    </w:p>
    <w:p>
      <w:pPr>
        <w:spacing w:line="360" w:lineRule="auto" w:after="120"/>
        <w:ind w:firstLine="420"/>
      </w:pPr>
      <w:r>
        <w:rPr>
          <w:rFonts w:ascii="宋体" w:hAnsi="宋体" w:eastAsia="宋体"/>
          <w:b w:val="0"/>
          <w:color w:val="000000"/>
          <w:sz w:val="21"/>
        </w:rPr>
        <w:t>一个候选由铁芯、低压绕组、高压绕组和冷却结构四类对象构成。每类对象不是孤立数字，而是可以还原为目录记录的完整规格。设计变量之间还存在条件依赖：例如，某些几何参数只对特定铁芯形状有意义；绕组层数需与导线形式和匝数相匹配；油道与冷却结构需落在允许的工艺组合内。合法性检查在每次候选生成后执行，只有通过检查的候选才进入工程精算。</w:t>
      </w:r>
    </w:p>
    <w:p>
      <w:pPr>
        <w:spacing w:line="360" w:lineRule="auto" w:after="120"/>
        <w:ind w:firstLine="420"/>
      </w:pPr>
      <w:r>
        <w:rPr>
          <w:rFonts w:ascii="宋体" w:hAnsi="宋体" w:eastAsia="宋体"/>
          <w:b w:val="0"/>
          <w:color w:val="000000"/>
          <w:sz w:val="21"/>
        </w:rPr>
        <w:t>这种表示方式的直接好处是：算法的每一次搜索动作都对应一个可解释的工程选择。例如“更换为相邻宽度的扁导线记录”是一次可追踪的离散变动；而不是在数字空间中把宽度和厚度拼成一个无法采购的虚构规格。</w:t>
      </w:r>
    </w:p>
    <w:p>
      <w:pPr>
        <w:pStyle w:val="Heading2"/>
        <w:keepNext/>
        <w:spacing w:before="200" w:after="140"/>
      </w:pPr>
      <w:r>
        <w:rPr>
          <w:rFonts w:ascii="黑体" w:hAnsi="黑体" w:eastAsia="黑体"/>
          <w:b/>
          <w:color w:val="000000"/>
          <w:sz w:val="24"/>
        </w:rPr>
        <w:t>2.3 评价与排序</w:t>
      </w:r>
    </w:p>
    <w:p>
      <w:pPr>
        <w:spacing w:line="360" w:lineRule="auto" w:after="120"/>
        <w:ind w:firstLine="420"/>
      </w:pPr>
      <w:r>
        <w:rPr>
          <w:rFonts w:ascii="宋体" w:hAnsi="宋体" w:eastAsia="宋体"/>
          <w:b w:val="0"/>
          <w:color w:val="000000"/>
          <w:sz w:val="21"/>
        </w:rPr>
        <w:t>对于严格可行候选，按总成本从低到高排序。对于未严格可行但可完整计算的候选，先定义归一化超限 vᵢ(x)=max(0,gᵢ(E(x),q)/sᵢ)，其中 sᵢ 为第 i 项约束在实验开始前记录的尺度；再以 V(x)=Σvᵢ(x)、Vmax(x)=max vᵢ(x)、超限项数和成本的字典序排序。尺度 sᵢ 用于消除不同量纲的影响，必须在正式实验前固定并写入运行记录。该分层排序避免了一个常见问题：若把所有违反约束的候选简单加上罚函数，罚函数权重会掩盖“哪个候选更接近合格”的工程信息，也可能使一个成本很低但严重超限的方案被误判为优质候选。这一做法与离散约束优化中强调可行性保持和分层约束处理的思路一致[5-6]。</w:t>
      </w:r>
    </w:p>
    <w:p>
      <w:pPr>
        <w:pStyle w:val="Heading2"/>
        <w:keepNext/>
        <w:spacing w:before="200" w:after="140"/>
      </w:pPr>
      <w:r>
        <w:rPr>
          <w:rFonts w:ascii="黑体" w:hAnsi="黑体" w:eastAsia="黑体"/>
          <w:b/>
          <w:color w:val="000000"/>
          <w:sz w:val="24"/>
        </w:rPr>
        <w:t>2.4 工程精算接口与成本口径</w:t>
      </w:r>
    </w:p>
    <w:p>
      <w:pPr>
        <w:spacing w:line="360" w:lineRule="auto" w:after="120"/>
        <w:ind w:firstLine="420"/>
      </w:pPr>
      <w:r>
        <w:rPr>
          <w:rFonts w:ascii="宋体" w:hAnsi="宋体" w:eastAsia="宋体"/>
          <w:b w:val="0"/>
          <w:color w:val="000000"/>
          <w:sz w:val="21"/>
        </w:rPr>
        <w:t>本研究框架将工程精算器视为版本化评价接口，而不是遗传算法内部的一组公式。输入为当前设计要求 q、完整候选 x 和随场景保存的价格及工艺快照；输出至少包括空载损耗、负载损耗、阻抗、绕组与油温升、油重、油箱重量、绕组几何、约束余量和成本分项。当前原型的总成本口径为 C=C_LV+C_HV+C_steel+C_oil+C_tank，其中五项依次为低压导线、高压导线、硅钢片、油以及油箱和附件的计算重量乘以场景快照中的相应单价。正式实验不得在运行中替换价格快照或精算器版本。</w:t>
      </w:r>
    </w:p>
    <w:p>
      <w:pPr>
        <w:spacing w:line="360" w:lineRule="auto" w:after="120"/>
        <w:ind w:firstLine="420"/>
      </w:pPr>
      <w:r>
        <w:rPr>
          <w:rFonts w:ascii="宋体" w:hAnsi="宋体" w:eastAsia="宋体"/>
          <w:b w:val="0"/>
          <w:color w:val="000000"/>
          <w:sz w:val="21"/>
        </w:rPr>
        <w:t>硬约束由 q 提供具体上下限，至少覆盖空载损耗、负载损耗、阻抗、温升、绕组电流密度与高度、导线宽厚及宽厚比、层数规则和几何装配关系。论文不在这里虚构任何产品阈值；每个场景必须随原始数据保存“约束名称、实际值、下限、上限、单位和归一化尺度”。因此，算法比较的对象不是抽象的一个成本数字，而是同一版本精算器在同一输入快照下返回的完整评价结果。</w:t>
      </w:r>
    </w:p>
    <w:p>
      <w:pPr>
        <w:pStyle w:val="Heading1"/>
        <w:keepNext/>
        <w:spacing w:before="320" w:after="140"/>
      </w:pPr>
      <w:r>
        <w:rPr>
          <w:rFonts w:ascii="黑体" w:hAnsi="黑体" w:eastAsia="黑体"/>
          <w:b/>
          <w:color w:val="000000"/>
          <w:sz w:val="30"/>
        </w:rPr>
        <w:t>3 遗传优化方法</w:t>
      </w:r>
    </w:p>
    <w:p>
      <w:r>
        <w:drawing>
          <wp:inline xmlns:a="http://schemas.openxmlformats.org/drawingml/2006/main" xmlns:pic="http://schemas.openxmlformats.org/drawingml/2006/picture">
            <wp:extent cx="5544000" cy="2742821"/>
            <wp:docPr id="2" name="Picture 2" descr="设计要求与目录记录形成候选域，遗传搜索调用工程精算器并输出候选和可追溯运行记录。" title="设计要求与目录记录形成候选域，遗传搜索调用工程精算器并输出候选和可追溯运行记录。"/>
            <wp:cNvGraphicFramePr>
              <a:graphicFrameLocks noChangeAspect="1"/>
            </wp:cNvGraphicFramePr>
            <a:graphic>
              <a:graphicData uri="http://schemas.openxmlformats.org/drawingml/2006/picture">
                <pic:pic>
                  <pic:nvPicPr>
                    <pic:cNvPr id="0" name="图1_研究框架.png"/>
                    <pic:cNvPicPr/>
                  </pic:nvPicPr>
                  <pic:blipFill>
                    <a:blip r:embed="rId12"/>
                    <a:stretch>
                      <a:fillRect/>
                    </a:stretch>
                  </pic:blipFill>
                  <pic:spPr>
                    <a:xfrm>
                      <a:off x="0" y="0"/>
                      <a:ext cx="5544000" cy="2742821"/>
                    </a:xfrm>
                    <a:prstGeom prst="rect"/>
                  </pic:spPr>
                </pic:pic>
              </a:graphicData>
            </a:graphic>
          </wp:inline>
        </w:drawing>
      </w:r>
    </w:p>
    <w:p>
      <w:pPr>
        <w:spacing w:after="180"/>
        <w:jc w:val="center"/>
      </w:pPr>
      <w:r>
        <w:rPr>
          <w:rFonts w:ascii="宋体" w:hAnsi="宋体" w:eastAsia="宋体"/>
          <w:b w:val="0"/>
          <w:color w:val="000000"/>
          <w:sz w:val="18"/>
        </w:rPr>
        <w:t>图 2  本文方法的整体研究框架。</w:t>
      </w:r>
    </w:p>
    <w:p>
      <w:pPr>
        <w:pStyle w:val="Heading2"/>
        <w:keepNext/>
        <w:spacing w:before="200" w:after="140"/>
      </w:pPr>
      <w:r>
        <w:rPr>
          <w:rFonts w:ascii="黑体" w:hAnsi="黑体" w:eastAsia="黑体"/>
          <w:b/>
          <w:color w:val="000000"/>
          <w:sz w:val="24"/>
        </w:rPr>
        <w:t>3.1 初始种群：覆盖、经验与探索</w:t>
      </w:r>
    </w:p>
    <w:p>
      <w:pPr>
        <w:spacing w:line="360" w:lineRule="auto" w:after="120"/>
        <w:ind w:firstLine="420"/>
      </w:pPr>
      <w:r>
        <w:rPr>
          <w:rFonts w:ascii="宋体" w:hAnsi="宋体" w:eastAsia="宋体"/>
          <w:b w:val="0"/>
          <w:color w:val="000000"/>
          <w:sz w:val="21"/>
        </w:rPr>
        <w:t>第 0 代的质量会影响遗传算法后续能否看到足够多的有效结构。纯随机初始化虽然简单，但在规格种类较多时，少数取值可能长期未被抽到；完全依赖历史方案又会使搜索停留在过去的设计习惯。因此，当前原型将三种来源结合起来：系统化覆盖用于确保关键离散取值在若干背景组合中出现；相似历史方案提供可能较好的起点；随机候选则补充未见组合。记三类候选集为 Pcov、Phis 和 Prand，则初始种群为 P0=Unique(Valid(Pcov∪Phis∪Prand))。Valid 按“完整记录可还原→依赖变量合法→页面范围合法”的顺序判断；Unique 以完整规范化候选的全部基因字段为去重键。三者均在合法性检查后才进入种群。</w:t>
      </w:r>
    </w:p>
    <w:p>
      <w:r>
        <w:drawing>
          <wp:inline xmlns:a="http://schemas.openxmlformats.org/drawingml/2006/main" xmlns:pic="http://schemas.openxmlformats.org/drawingml/2006/picture">
            <wp:extent cx="5544000" cy="2713642"/>
            <wp:docPr id="3" name="Picture 3" descr="系统化覆盖、相似历史方案和随机探索经过去重与合法化后组成初始种群。" title="系统化覆盖、相似历史方案和随机探索经过去重与合法化后组成初始种群。"/>
            <wp:cNvGraphicFramePr>
              <a:graphicFrameLocks noChangeAspect="1"/>
            </wp:cNvGraphicFramePr>
            <a:graphic>
              <a:graphicData uri="http://schemas.openxmlformats.org/drawingml/2006/picture">
                <pic:pic>
                  <pic:nvPicPr>
                    <pic:cNvPr id="0" name="图3_初始种群.png"/>
                    <pic:cNvPicPr/>
                  </pic:nvPicPr>
                  <pic:blipFill>
                    <a:blip r:embed="rId13"/>
                    <a:stretch>
                      <a:fillRect/>
                    </a:stretch>
                  </pic:blipFill>
                  <pic:spPr>
                    <a:xfrm>
                      <a:off x="0" y="0"/>
                      <a:ext cx="5544000" cy="2713642"/>
                    </a:xfrm>
                    <a:prstGeom prst="rect"/>
                  </pic:spPr>
                </pic:pic>
              </a:graphicData>
            </a:graphic>
          </wp:inline>
        </w:drawing>
      </w:r>
    </w:p>
    <w:p>
      <w:pPr>
        <w:spacing w:after="180"/>
        <w:jc w:val="center"/>
      </w:pPr>
      <w:r>
        <w:rPr>
          <w:rFonts w:ascii="宋体" w:hAnsi="宋体" w:eastAsia="宋体"/>
          <w:b w:val="0"/>
          <w:color w:val="000000"/>
          <w:sz w:val="18"/>
        </w:rPr>
        <w:t>图 3  初始种群的三类来源及其作用。</w:t>
      </w:r>
    </w:p>
    <w:p>
      <w:pPr>
        <w:spacing w:line="360" w:lineRule="auto" w:after="120"/>
        <w:ind w:firstLine="420"/>
      </w:pPr>
      <w:r>
        <w:rPr>
          <w:rFonts w:ascii="宋体" w:hAnsi="宋体" w:eastAsia="宋体"/>
          <w:b w:val="0"/>
          <w:color w:val="000000"/>
          <w:sz w:val="21"/>
        </w:rPr>
        <w:t>系统化覆盖并不枚举全部组合。当前原型先按各维度的位置均匀生成 1 至 6 条完整背景；A 层在这些背景间轮换，使硅钢片、铁芯、低压/高压完整线规、低压匝数、合法层数、油道、冷却型号和长圆铁芯的 conversionC 各至少出现一次。B 层默认采用循环均衡的两两覆盖，而非全笛卡尔积：对“牌号×铁芯、铁芯×低压线规、铁芯×高压线规、低压×高压线规、低压线规×低压匝数”等 12 组强耦合关系，每一侧允许值至少参与一次；只有小域验证才使用全组合覆盖。这样做的目的只是降低遗漏风险，而不是声称第 0 代已经代表全局最优。</w:t>
      </w:r>
    </w:p>
    <w:p>
      <w:pPr>
        <w:spacing w:line="360" w:lineRule="auto" w:after="120"/>
        <w:ind w:firstLine="420"/>
      </w:pPr>
      <w:r>
        <w:rPr>
          <w:rFonts w:ascii="宋体" w:hAnsi="宋体" w:eastAsia="宋体"/>
          <w:b w:val="0"/>
          <w:color w:val="000000"/>
          <w:sz w:val="21"/>
        </w:rPr>
        <w:t>当前相似历史筛选以产品类型和频率为硬门槛；其余特征使用 0 至 1 的加权相似度。容量、高压额定电压、低压额定电压和铁芯直径范围按相对差异计分，频率、绕法、联结、铁芯形状、油箱类型及高低压导线类别按相同与否计分，硅钢片多选集按 Jaccard 相似度计分。原型权重与可接受条数均写入运行记录：历史候选最多建议保留 5 至 30 条，先按相似度、历史合规等级、历史价格和记录号排序，再在 A/B 覆盖后的剩余槽位中按历史种子比例选入。它们是当前待验证的预设规则，不是已经由数据学习得到的参数。实际种群规模由搜索域估计规模与覆盖候选数自动推导；每次运行必须保存最终 N0 和三类来源的实际数量。</w:t>
      </w:r>
    </w:p>
    <w:p>
      <w:pPr>
        <w:pStyle w:val="Heading2"/>
        <w:keepNext/>
        <w:spacing w:before="200" w:after="140"/>
      </w:pPr>
      <w:r>
        <w:rPr>
          <w:rFonts w:ascii="黑体" w:hAnsi="黑体" w:eastAsia="黑体"/>
          <w:b/>
          <w:color w:val="000000"/>
          <w:sz w:val="24"/>
        </w:rPr>
        <w:t>3.2 双档案选择</w:t>
      </w:r>
    </w:p>
    <w:p>
      <w:r>
        <w:drawing>
          <wp:inline xmlns:a="http://schemas.openxmlformats.org/drawingml/2006/main" xmlns:pic="http://schemas.openxmlformats.org/drawingml/2006/picture">
            <wp:extent cx="5544000" cy="2626105"/>
            <wp:docPr id="4" name="Picture 4" descr="工程精算结果分别进入严格可行档案或近可行档案，并共同参与下一代候选的生成。" title="工程精算结果分别进入严格可行档案或近可行档案，并共同参与下一代候选的生成。"/>
            <wp:cNvGraphicFramePr>
              <a:graphicFrameLocks noChangeAspect="1"/>
            </wp:cNvGraphicFramePr>
            <a:graphic>
              <a:graphicData uri="http://schemas.openxmlformats.org/drawingml/2006/picture">
                <pic:pic>
                  <pic:nvPicPr>
                    <pic:cNvPr id="0" name="图4_双档案.png"/>
                    <pic:cNvPicPr/>
                  </pic:nvPicPr>
                  <pic:blipFill>
                    <a:blip r:embed="rId14"/>
                    <a:stretch>
                      <a:fillRect/>
                    </a:stretch>
                  </pic:blipFill>
                  <pic:spPr>
                    <a:xfrm>
                      <a:off x="0" y="0"/>
                      <a:ext cx="5544000" cy="2626105"/>
                    </a:xfrm>
                    <a:prstGeom prst="rect"/>
                  </pic:spPr>
                </pic:pic>
              </a:graphicData>
            </a:graphic>
          </wp:inline>
        </w:drawing>
      </w:r>
    </w:p>
    <w:p>
      <w:pPr>
        <w:spacing w:after="180"/>
        <w:jc w:val="center"/>
      </w:pPr>
      <w:r>
        <w:rPr>
          <w:rFonts w:ascii="宋体" w:hAnsi="宋体" w:eastAsia="宋体"/>
          <w:b w:val="0"/>
          <w:color w:val="000000"/>
          <w:sz w:val="18"/>
        </w:rPr>
        <w:t>图 4  严格可行档案与近可行档案的分工。</w:t>
      </w:r>
    </w:p>
    <w:p>
      <w:pPr>
        <w:spacing w:line="360" w:lineRule="auto" w:after="120"/>
        <w:ind w:firstLine="420"/>
      </w:pPr>
      <w:r>
        <w:rPr>
          <w:rFonts w:ascii="宋体" w:hAnsi="宋体" w:eastAsia="宋体"/>
          <w:b w:val="0"/>
          <w:color w:val="000000"/>
          <w:sz w:val="21"/>
        </w:rPr>
        <w:t>严格可行档案保存已经满足全部约束的候选，并按（总成本、总超限）升序排序。近可行档案保存尚有约束超限但距离合格边界较近的候选，并按（总归一化超限、最大归一化超限、超限项数、总成本）升序排序。每代评价后，先把旧档案成员和新种群按完整规范化候选去重，再按上述规则截断至预先固定容量；当前原型两类档案容量均为 24。父代 A 从严格档案进行规模为 3 的锦标赛选择；父代 B 在严格档案非空时以 30% 概率从近可行档案选择，否则从严格档案与当前种群的合并池选择。若严格档案为空，则父代 A、B 仅从当前种群和近可行档案选择。近可行方案只用于保留边界信息和参与搜索，不能作为最终结果输出。</w:t>
      </w:r>
    </w:p>
    <w:p>
      <w:pPr>
        <w:pStyle w:val="Heading2"/>
        <w:keepNext/>
        <w:spacing w:before="200" w:after="140"/>
      </w:pPr>
      <w:r>
        <w:rPr>
          <w:rFonts w:ascii="黑体" w:hAnsi="黑体" w:eastAsia="黑体"/>
          <w:b/>
          <w:color w:val="000000"/>
          <w:sz w:val="24"/>
        </w:rPr>
        <w:t>3.3 交叉与变异</w:t>
      </w:r>
    </w:p>
    <w:p>
      <w:pPr>
        <w:spacing w:line="360" w:lineRule="auto" w:after="120"/>
        <w:ind w:firstLine="420"/>
      </w:pPr>
      <w:r>
        <w:rPr>
          <w:rFonts w:ascii="宋体" w:hAnsi="宋体" w:eastAsia="宋体"/>
          <w:b w:val="0"/>
          <w:color w:val="000000"/>
          <w:sz w:val="21"/>
        </w:rPr>
        <w:t>交叉操作以铁芯、低压绕组、高压绕组和冷却结构为四个参数块，在两个父代之间整体交换。块内的规格记录保持完整，因此不会出现“从父代 A 取宽度、从父代 B 取厚度”的拼接结果。四个参数块独立交换的目的是让冷却结构不再被铁芯选择完全绑定，同时避免对细小字段进行无意义的随机打散。</w:t>
      </w:r>
    </w:p>
    <w:p>
      <w:pPr>
        <w:spacing w:line="360" w:lineRule="auto" w:after="120"/>
        <w:ind w:firstLine="420"/>
      </w:pPr>
      <w:r>
        <w:rPr>
          <w:rFonts w:ascii="宋体" w:hAnsi="宋体" w:eastAsia="宋体"/>
          <w:b w:val="0"/>
          <w:color w:val="000000"/>
          <w:sz w:val="21"/>
        </w:rPr>
        <w:t>普通随机变异从当前允许目录中替换一个或少数几个离散对象，用于保持探索。当前原型以 0.45 的概率触发变异；已触发的变异中，以 0.65 的概率尝试定向变异，其余执行普通随机变异。定向变异只在候选存在可解释的约束超限时启用：磁路或空载损耗类超限优先考察铁芯块；绕组损耗类超限优先考察高低压绕组块；阻抗类超限同时考察铁芯与绕组块；温升类超限优先考察冷却和绕组块。一次定向变异最多真实精算 3 个局部候选；没有诊断方向或局部候选未改善时，回退到普通随机变异。对于扁导线，宽度方向和厚度方向分别在“另一尺寸不变”的真实目录记录中定义邻域；跨导线类别则只允许整体更换完整记录。上述映射是可检验的工程先验，不是已经学习出的因果规律。</w:t>
      </w:r>
    </w:p>
    <w:p>
      <w:pPr>
        <w:pStyle w:val="Heading2"/>
        <w:keepNext/>
        <w:spacing w:before="200" w:after="140"/>
      </w:pPr>
      <w:r>
        <w:rPr>
          <w:rFonts w:ascii="黑体" w:hAnsi="黑体" w:eastAsia="黑体"/>
          <w:b/>
          <w:color w:val="000000"/>
          <w:sz w:val="24"/>
        </w:rPr>
        <w:t>3.4 当前原型的运行规则与预注册项</w:t>
      </w:r>
    </w:p>
    <w:p>
      <w:pPr>
        <w:spacing w:line="360" w:lineRule="auto" w:after="120"/>
        <w:ind w:firstLine="420"/>
      </w:pPr>
      <w:r>
        <w:rPr>
          <w:rFonts w:ascii="宋体" w:hAnsi="宋体" w:eastAsia="宋体"/>
          <w:b w:val="0"/>
          <w:color w:val="000000"/>
          <w:sz w:val="21"/>
        </w:rPr>
        <w:t>表 2 记录当前原型的可执行默认规则。它的作用是让后续实验可以复核，而不是将这些数值包装成经过标定的最优参数。正式实验应在运行前冻结该表中的取值、精算器版本和场景快照；若修改任一规则，应作为新的实验条件单独比较。</w:t>
      </w:r>
    </w:p>
    <w:p>
      <w:pPr>
        <w:spacing w:before="160" w:after="80"/>
      </w:pPr>
      <w:r>
        <w:rPr>
          <w:rFonts w:ascii="宋体" w:hAnsi="宋体" w:eastAsia="宋体"/>
          <w:b/>
          <w:color w:val="000000"/>
          <w:sz w:val="19"/>
        </w:rPr>
        <w:t>表 2  当前原型的关键运行规则（待真实实验标定）</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701"/>
            <w:vAlign w:val="center"/>
            <w:shd w:fill="1F4E79"/>
            <w:tcBorders>
              <w:top w:val="single" w:sz="6" w:color="D9D9D9"/>
              <w:left w:val="single" w:sz="6" w:color="D9D9D9"/>
              <w:bottom w:val="single" w:sz="6" w:color="D9D9D9"/>
              <w:right w:val="single" w:sz="6" w:color="D9D9D9"/>
            </w:tcBorders>
          </w:tcPr>
          <w:p>
            <w:pPr>
              <w:jc w:val="center"/>
            </w:pPr>
            <w:r>
              <w:rPr>
                <w:rFonts w:ascii="黑体" w:hAnsi="黑体" w:eastAsia="黑体"/>
                <w:b/>
                <w:color w:val="FFFFFF"/>
                <w:sz w:val="16"/>
              </w:rPr>
              <w:t>环节</w:t>
            </w:r>
          </w:p>
        </w:tc>
        <w:tc>
          <w:tcPr>
            <w:tcW w:type="dxa" w:w="4535"/>
            <w:vAlign w:val="center"/>
            <w:shd w:fill="1F4E79"/>
            <w:tcBorders>
              <w:top w:val="single" w:sz="6" w:color="D9D9D9"/>
              <w:left w:val="single" w:sz="6" w:color="D9D9D9"/>
              <w:bottom w:val="single" w:sz="6" w:color="D9D9D9"/>
              <w:right w:val="single" w:sz="6" w:color="D9D9D9"/>
            </w:tcBorders>
          </w:tcPr>
          <w:p>
            <w:pPr>
              <w:jc w:val="center"/>
            </w:pPr>
            <w:r>
              <w:rPr>
                <w:rFonts w:ascii="黑体" w:hAnsi="黑体" w:eastAsia="黑体"/>
                <w:b/>
                <w:color w:val="FFFFFF"/>
                <w:sz w:val="16"/>
              </w:rPr>
              <w:t>当前规则</w:t>
            </w:r>
          </w:p>
        </w:tc>
        <w:tc>
          <w:tcPr>
            <w:tcW w:type="dxa" w:w="3175"/>
            <w:vAlign w:val="center"/>
            <w:shd w:fill="1F4E79"/>
            <w:tcBorders>
              <w:top w:val="single" w:sz="6" w:color="D9D9D9"/>
              <w:left w:val="single" w:sz="6" w:color="D9D9D9"/>
              <w:bottom w:val="single" w:sz="6" w:color="D9D9D9"/>
              <w:right w:val="single" w:sz="6" w:color="D9D9D9"/>
            </w:tcBorders>
          </w:tcPr>
          <w:p>
            <w:pPr>
              <w:jc w:val="center"/>
            </w:pPr>
            <w:r>
              <w:rPr>
                <w:rFonts w:ascii="黑体" w:hAnsi="黑体" w:eastAsia="黑体"/>
                <w:b/>
                <w:color w:val="FFFFFF"/>
                <w:sz w:val="16"/>
              </w:rPr>
              <w:t>正式实验中的记录要求</w:t>
            </w:r>
          </w:p>
        </w:tc>
      </w:tr>
      <w:tr>
        <w:tc>
          <w:tcPr>
            <w:tcW w:type="dxa" w:w="1701"/>
            <w:vAlign w:val="center"/>
            <w:tcBorders>
              <w:top w:val="single" w:sz="6" w:color="D9D9D9"/>
              <w:left w:val="single" w:sz="6" w:color="D9D9D9"/>
              <w:bottom w:val="single" w:sz="6" w:color="D9D9D9"/>
              <w:right w:val="single" w:sz="6" w:color="D9D9D9"/>
            </w:tcBorders>
          </w:tcPr>
          <w:p>
            <w:pPr>
              <w:jc w:val="left"/>
            </w:pPr>
            <w:r>
              <w:rPr>
                <w:rFonts w:ascii="宋体" w:hAnsi="宋体" w:eastAsia="宋体"/>
                <w:b w:val="0"/>
                <w:color w:val="000000"/>
                <w:sz w:val="16"/>
              </w:rPr>
              <w:t>初始化</w:t>
            </w:r>
          </w:p>
        </w:tc>
        <w:tc>
          <w:tcPr>
            <w:tcW w:type="dxa" w:w="4535"/>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1–6 条分层背景；A 层单值覆盖；B 层 12 组均衡两两覆盖</w:t>
            </w:r>
          </w:p>
        </w:tc>
        <w:tc>
          <w:tcPr>
            <w:tcW w:type="dxa" w:w="3175"/>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保存背景数、A/B 候选数、去重后覆盖数和最终 N0</w:t>
            </w:r>
          </w:p>
        </w:tc>
      </w:tr>
      <w:tr>
        <w:tc>
          <w:tcPr>
            <w:tcW w:type="dxa" w:w="1701"/>
            <w:vAlign w:val="center"/>
            <w:tcBorders>
              <w:top w:val="single" w:sz="6" w:color="D9D9D9"/>
              <w:left w:val="single" w:sz="6" w:color="D9D9D9"/>
              <w:bottom w:val="single" w:sz="6" w:color="D9D9D9"/>
              <w:right w:val="single" w:sz="6" w:color="D9D9D9"/>
            </w:tcBorders>
            <w:shd w:fill="F4F7FA"/>
          </w:tcPr>
          <w:p>
            <w:pPr>
              <w:jc w:val="left"/>
            </w:pPr>
            <w:r>
              <w:rPr>
                <w:rFonts w:ascii="宋体" w:hAnsi="宋体" w:eastAsia="宋体"/>
                <w:b w:val="0"/>
                <w:color w:val="000000"/>
                <w:sz w:val="16"/>
              </w:rPr>
              <w:t>历史种子</w:t>
            </w:r>
          </w:p>
        </w:tc>
        <w:tc>
          <w:tcPr>
            <w:tcW w:type="dxa" w:w="4535"/>
            <w:vAlign w:val="center"/>
            <w:tcBorders>
              <w:top w:val="single" w:sz="6" w:color="D9D9D9"/>
              <w:left w:val="single" w:sz="6" w:color="D9D9D9"/>
              <w:bottom w:val="single" w:sz="6" w:color="D9D9D9"/>
              <w:right w:val="single" w:sz="6" w:color="D9D9D9"/>
            </w:tcBorders>
            <w:shd w:fill="F4F7FA"/>
          </w:tcPr>
          <w:p>
            <w:pPr>
              <w:jc w:val="center"/>
            </w:pPr>
            <w:r>
              <w:rPr>
                <w:rFonts w:ascii="宋体" w:hAnsi="宋体" w:eastAsia="宋体"/>
                <w:b w:val="0"/>
                <w:color w:val="000000"/>
                <w:sz w:val="16"/>
              </w:rPr>
              <w:t>5–30 条候选上限；覆盖后剩余槽位的 0.35 用于历史种子</w:t>
            </w:r>
          </w:p>
        </w:tc>
        <w:tc>
          <w:tcPr>
            <w:tcW w:type="dxa" w:w="3175"/>
            <w:vAlign w:val="center"/>
            <w:tcBorders>
              <w:top w:val="single" w:sz="6" w:color="D9D9D9"/>
              <w:left w:val="single" w:sz="6" w:color="D9D9D9"/>
              <w:bottom w:val="single" w:sz="6" w:color="D9D9D9"/>
              <w:right w:val="single" w:sz="6" w:color="D9D9D9"/>
            </w:tcBorders>
            <w:shd w:fill="F4F7FA"/>
          </w:tcPr>
          <w:p>
            <w:pPr>
              <w:jc w:val="center"/>
            </w:pPr>
            <w:r>
              <w:rPr>
                <w:rFonts w:ascii="宋体" w:hAnsi="宋体" w:eastAsia="宋体"/>
                <w:b w:val="0"/>
                <w:color w:val="000000"/>
                <w:sz w:val="16"/>
              </w:rPr>
              <w:t>保存硬门槛、特征得分、排序和实际入选数</w:t>
            </w:r>
          </w:p>
        </w:tc>
      </w:tr>
      <w:tr>
        <w:tc>
          <w:tcPr>
            <w:tcW w:type="dxa" w:w="1701"/>
            <w:vAlign w:val="center"/>
            <w:tcBorders>
              <w:top w:val="single" w:sz="6" w:color="D9D9D9"/>
              <w:left w:val="single" w:sz="6" w:color="D9D9D9"/>
              <w:bottom w:val="single" w:sz="6" w:color="D9D9D9"/>
              <w:right w:val="single" w:sz="6" w:color="D9D9D9"/>
            </w:tcBorders>
          </w:tcPr>
          <w:p>
            <w:pPr>
              <w:jc w:val="left"/>
            </w:pPr>
            <w:r>
              <w:rPr>
                <w:rFonts w:ascii="宋体" w:hAnsi="宋体" w:eastAsia="宋体"/>
                <w:b w:val="0"/>
                <w:color w:val="000000"/>
                <w:sz w:val="16"/>
              </w:rPr>
              <w:t>双档案</w:t>
            </w:r>
          </w:p>
        </w:tc>
        <w:tc>
          <w:tcPr>
            <w:tcW w:type="dxa" w:w="4535"/>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严格/近可行各 24 条；完整基因去重后分别排序截断</w:t>
            </w:r>
          </w:p>
        </w:tc>
        <w:tc>
          <w:tcPr>
            <w:tcW w:type="dxa" w:w="3175"/>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保存每个候选的档案归属与淘汰原因</w:t>
            </w:r>
          </w:p>
        </w:tc>
      </w:tr>
      <w:tr>
        <w:tc>
          <w:tcPr>
            <w:tcW w:type="dxa" w:w="1701"/>
            <w:vAlign w:val="center"/>
            <w:tcBorders>
              <w:top w:val="single" w:sz="6" w:color="D9D9D9"/>
              <w:left w:val="single" w:sz="6" w:color="D9D9D9"/>
              <w:bottom w:val="single" w:sz="6" w:color="D9D9D9"/>
              <w:right w:val="single" w:sz="6" w:color="D9D9D9"/>
            </w:tcBorders>
            <w:shd w:fill="F4F7FA"/>
          </w:tcPr>
          <w:p>
            <w:pPr>
              <w:jc w:val="left"/>
            </w:pPr>
            <w:r>
              <w:rPr>
                <w:rFonts w:ascii="宋体" w:hAnsi="宋体" w:eastAsia="宋体"/>
                <w:b w:val="0"/>
                <w:color w:val="000000"/>
                <w:sz w:val="16"/>
              </w:rPr>
              <w:t>父代与交叉</w:t>
            </w:r>
          </w:p>
        </w:tc>
        <w:tc>
          <w:tcPr>
            <w:tcW w:type="dxa" w:w="4535"/>
            <w:vAlign w:val="center"/>
            <w:tcBorders>
              <w:top w:val="single" w:sz="6" w:color="D9D9D9"/>
              <w:left w:val="single" w:sz="6" w:color="D9D9D9"/>
              <w:bottom w:val="single" w:sz="6" w:color="D9D9D9"/>
              <w:right w:val="single" w:sz="6" w:color="D9D9D9"/>
            </w:tcBorders>
            <w:shd w:fill="F4F7FA"/>
          </w:tcPr>
          <w:p>
            <w:pPr>
              <w:jc w:val="center"/>
            </w:pPr>
            <w:r>
              <w:rPr>
                <w:rFonts w:ascii="宋体" w:hAnsi="宋体" w:eastAsia="宋体"/>
                <w:b w:val="0"/>
                <w:color w:val="000000"/>
                <w:sz w:val="16"/>
              </w:rPr>
              <w:t>A 为严格档案锦标赛；B 有 0.30 概率来自近可行档案；四块交叉概率 0.85</w:t>
            </w:r>
          </w:p>
        </w:tc>
        <w:tc>
          <w:tcPr>
            <w:tcW w:type="dxa" w:w="3175"/>
            <w:vAlign w:val="center"/>
            <w:tcBorders>
              <w:top w:val="single" w:sz="6" w:color="D9D9D9"/>
              <w:left w:val="single" w:sz="6" w:color="D9D9D9"/>
              <w:bottom w:val="single" w:sz="6" w:color="D9D9D9"/>
              <w:right w:val="single" w:sz="6" w:color="D9D9D9"/>
            </w:tcBorders>
            <w:shd w:fill="F4F7FA"/>
          </w:tcPr>
          <w:p>
            <w:pPr>
              <w:jc w:val="center"/>
            </w:pPr>
            <w:r>
              <w:rPr>
                <w:rFonts w:ascii="宋体" w:hAnsi="宋体" w:eastAsia="宋体"/>
                <w:b w:val="0"/>
                <w:color w:val="000000"/>
                <w:sz w:val="16"/>
              </w:rPr>
              <w:t>保存父代、来源池、每块来自 A 或 B 的标记</w:t>
            </w:r>
          </w:p>
        </w:tc>
      </w:tr>
      <w:tr>
        <w:tc>
          <w:tcPr>
            <w:tcW w:type="dxa" w:w="1701"/>
            <w:vAlign w:val="center"/>
            <w:tcBorders>
              <w:top w:val="single" w:sz="6" w:color="D9D9D9"/>
              <w:left w:val="single" w:sz="6" w:color="D9D9D9"/>
              <w:bottom w:val="single" w:sz="6" w:color="D9D9D9"/>
              <w:right w:val="single" w:sz="6" w:color="D9D9D9"/>
            </w:tcBorders>
          </w:tcPr>
          <w:p>
            <w:pPr>
              <w:jc w:val="left"/>
            </w:pPr>
            <w:r>
              <w:rPr>
                <w:rFonts w:ascii="宋体" w:hAnsi="宋体" w:eastAsia="宋体"/>
                <w:b w:val="0"/>
                <w:color w:val="000000"/>
                <w:sz w:val="16"/>
              </w:rPr>
              <w:t>变异</w:t>
            </w:r>
          </w:p>
        </w:tc>
        <w:tc>
          <w:tcPr>
            <w:tcW w:type="dxa" w:w="4535"/>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总触发概率 0.45；触发后定向概率 0.65；每次最多 3 个局部探测</w:t>
            </w:r>
          </w:p>
        </w:tc>
        <w:tc>
          <w:tcPr>
            <w:tcW w:type="dxa" w:w="3175"/>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保存触发分支、探测候选、改善判定及随机回退</w:t>
            </w:r>
          </w:p>
        </w:tc>
      </w:tr>
      <w:tr>
        <w:tc>
          <w:tcPr>
            <w:tcW w:type="dxa" w:w="1701"/>
            <w:vAlign w:val="center"/>
            <w:tcBorders>
              <w:top w:val="single" w:sz="6" w:color="D9D9D9"/>
              <w:left w:val="single" w:sz="6" w:color="D9D9D9"/>
              <w:bottom w:val="single" w:sz="6" w:color="D9D9D9"/>
              <w:right w:val="single" w:sz="6" w:color="D9D9D9"/>
            </w:tcBorders>
            <w:shd w:fill="F4F7FA"/>
          </w:tcPr>
          <w:p>
            <w:pPr>
              <w:jc w:val="left"/>
            </w:pPr>
            <w:r>
              <w:rPr>
                <w:rFonts w:ascii="宋体" w:hAnsi="宋体" w:eastAsia="宋体"/>
                <w:b w:val="0"/>
                <w:color w:val="000000"/>
                <w:sz w:val="16"/>
              </w:rPr>
              <w:t>终止与细化</w:t>
            </w:r>
          </w:p>
        </w:tc>
        <w:tc>
          <w:tcPr>
            <w:tcW w:type="dxa" w:w="4535"/>
            <w:vAlign w:val="center"/>
            <w:tcBorders>
              <w:top w:val="single" w:sz="6" w:color="D9D9D9"/>
              <w:left w:val="single" w:sz="6" w:color="D9D9D9"/>
              <w:bottom w:val="single" w:sz="6" w:color="D9D9D9"/>
              <w:right w:val="single" w:sz="6" w:color="D9D9D9"/>
            </w:tcBorders>
            <w:shd w:fill="F4F7FA"/>
          </w:tcPr>
          <w:p>
            <w:pPr>
              <w:jc w:val="center"/>
            </w:pPr>
            <w:r>
              <w:rPr>
                <w:rFonts w:ascii="宋体" w:hAnsi="宋体" w:eastAsia="宋体"/>
                <w:b w:val="0"/>
                <w:color w:val="000000"/>
                <w:sz w:val="16"/>
              </w:rPr>
              <w:t>最多 20 代；连续 8 代档案无进步停止；保留 2 个精英；前 3 个严格精英各至多细化 12 个邻居</w:t>
            </w:r>
          </w:p>
        </w:tc>
        <w:tc>
          <w:tcPr>
            <w:tcW w:type="dxa" w:w="3175"/>
            <w:vAlign w:val="center"/>
            <w:tcBorders>
              <w:top w:val="single" w:sz="6" w:color="D9D9D9"/>
              <w:left w:val="single" w:sz="6" w:color="D9D9D9"/>
              <w:bottom w:val="single" w:sz="6" w:color="D9D9D9"/>
              <w:right w:val="single" w:sz="6" w:color="D9D9D9"/>
            </w:tcBorders>
            <w:shd w:fill="F4F7FA"/>
          </w:tcPr>
          <w:p>
            <w:pPr>
              <w:jc w:val="center"/>
            </w:pPr>
            <w:r>
              <w:rPr>
                <w:rFonts w:ascii="宋体" w:hAnsi="宋体" w:eastAsia="宋体"/>
                <w:b w:val="0"/>
                <w:color w:val="000000"/>
                <w:sz w:val="16"/>
              </w:rPr>
              <w:t>同时报告真实精算次数、缓存命中和停止原因</w:t>
            </w:r>
          </w:p>
        </w:tc>
      </w:tr>
    </w:tbl>
    <w:p>
      <w:pPr>
        <w:spacing w:after="40"/>
      </w:pPr>
    </w:p>
    <w:p>
      <w:pPr>
        <w:pStyle w:val="Heading2"/>
        <w:keepNext/>
        <w:spacing w:before="200" w:after="140"/>
      </w:pPr>
      <w:r>
        <w:rPr>
          <w:rFonts w:ascii="黑体" w:hAnsi="黑体" w:eastAsia="黑体"/>
          <w:b/>
          <w:color w:val="000000"/>
          <w:sz w:val="24"/>
        </w:rPr>
        <w:t>3.5 可追溯运行记录</w:t>
      </w:r>
    </w:p>
    <w:p>
      <w:pPr>
        <w:spacing w:line="360" w:lineRule="auto" w:after="120"/>
        <w:ind w:firstLine="420"/>
      </w:pPr>
      <w:r>
        <w:rPr>
          <w:rFonts w:ascii="宋体" w:hAnsi="宋体" w:eastAsia="宋体"/>
          <w:b w:val="0"/>
          <w:color w:val="000000"/>
          <w:sz w:val="21"/>
        </w:rPr>
        <w:t>每个候选需要记录其来源、父代、交叉的参数块、变异动作、工程精算状态、档案归属和淘汰原因。该记录一方面支持结果复核，另一方面为分析不同算子的实际作用提供数据基础。论文不应只报告“交叉调用了多少次”，而应进一步说明各类候选有多少通过合法性检查、有多少完成精算、有多少进入严格可行域，以及最终优质候选来自何种路径。</w:t>
      </w:r>
    </w:p>
    <w:p>
      <w:pPr>
        <w:spacing w:before="160" w:after="80"/>
        <w:jc w:val="center"/>
      </w:pPr>
      <w:r>
        <w:rPr>
          <w:rFonts w:ascii="宋体" w:hAnsi="宋体" w:eastAsia="宋体"/>
          <w:b/>
          <w:color w:val="000000"/>
          <w:sz w:val="20"/>
        </w:rPr>
        <w:t>算法 1  目录约束遗传优化的迭代过程</w:t>
      </w:r>
    </w:p>
    <w:p>
      <w:pPr>
        <w:spacing w:after="20" w:line="283" w:lineRule="auto"/>
        <w:ind w:left="198" w:right="198"/>
        <w:shd w:fill="F6F8FA"/>
        <w:pBdr>
          <w:top w:val="single" w:sz="5" w:color="B7C3D0"/>
          <w:left w:val="single" w:sz="5" w:color="B7C3D0"/>
          <w:right w:val="single" w:sz="5" w:color="B7C3D0"/>
        </w:pBdr>
      </w:pPr>
      <w:r>
        <w:rPr>
          <w:rFonts w:ascii="宋体" w:hAnsi="宋体" w:eastAsia="宋体"/>
          <w:b/>
          <w:color w:val="000000"/>
          <w:sz w:val="17"/>
        </w:rPr>
        <w:t>输入：</w:t>
      </w:r>
      <w:r>
        <w:rPr>
          <w:rFonts w:ascii="宋体" w:hAnsi="宋体" w:eastAsia="宋体"/>
          <w:b w:val="0"/>
          <w:color w:val="000000"/>
          <w:sz w:val="17"/>
        </w:rPr>
        <w:t>设计要求 q、可选规格目录 D、工程精算器 E、预先固定的运行参数 θ 和随机种子 r。</w:t>
      </w:r>
    </w:p>
    <w:p>
      <w:pPr>
        <w:spacing w:after="20" w:line="283" w:lineRule="auto"/>
        <w:ind w:left="198" w:right="198"/>
        <w:shd w:fill="F6F8FA"/>
        <w:pBdr>
          <w:left w:val="single" w:sz="5" w:color="B7C3D0"/>
          <w:right w:val="single" w:sz="5" w:color="B7C3D0"/>
        </w:pBdr>
      </w:pPr>
      <w:r>
        <w:rPr>
          <w:rFonts w:ascii="宋体" w:hAnsi="宋体" w:eastAsia="宋体"/>
          <w:b/>
          <w:color w:val="000000"/>
          <w:sz w:val="17"/>
        </w:rPr>
        <w:t>初始化：</w:t>
      </w:r>
      <w:r>
        <w:rPr>
          <w:rFonts w:ascii="宋体" w:hAnsi="宋体" w:eastAsia="宋体"/>
          <w:b w:val="0"/>
          <w:color w:val="000000"/>
          <w:sz w:val="17"/>
        </w:rPr>
        <w:t>构造合法域 Ω；由系统覆盖、相似历史和随机探索生成并去重初始种群 P；评价 P，分别更新严格可行档案 Aᶠ 与近可行档案 Aⁿ。</w:t>
      </w:r>
    </w:p>
    <w:p>
      <w:pPr>
        <w:spacing w:after="20" w:line="283" w:lineRule="auto"/>
        <w:ind w:left="198" w:right="198"/>
        <w:shd w:fill="F6F8FA"/>
        <w:pBdr>
          <w:left w:val="single" w:sz="5" w:color="B7C3D0"/>
          <w:right w:val="single" w:sz="5" w:color="B7C3D0"/>
        </w:pBdr>
      </w:pPr>
      <w:r>
        <w:rPr>
          <w:rFonts w:ascii="宋体" w:hAnsi="宋体" w:eastAsia="宋体"/>
          <w:b/>
          <w:color w:val="000000"/>
          <w:sz w:val="17"/>
        </w:rPr>
        <w:t>生成：</w:t>
      </w:r>
      <w:r>
        <w:rPr>
          <w:rFonts w:ascii="宋体" w:hAnsi="宋体" w:eastAsia="宋体"/>
          <w:b w:val="0"/>
          <w:color w:val="000000"/>
          <w:sz w:val="17"/>
        </w:rPr>
        <w:t>保留精英；按预先固定的父代来源规则选择父代；以完整参数块交叉或复制产生子代，再执行合法性检查。</w:t>
      </w:r>
    </w:p>
    <w:p>
      <w:pPr>
        <w:spacing w:after="20" w:line="283" w:lineRule="auto"/>
        <w:ind w:left="198" w:right="198"/>
        <w:shd w:fill="F6F8FA"/>
        <w:pBdr>
          <w:left w:val="single" w:sz="5" w:color="B7C3D0"/>
          <w:right w:val="single" w:sz="5" w:color="B7C3D0"/>
        </w:pBdr>
      </w:pPr>
      <w:r>
        <w:rPr>
          <w:rFonts w:ascii="宋体" w:hAnsi="宋体" w:eastAsia="宋体"/>
          <w:b/>
          <w:color w:val="000000"/>
          <w:sz w:val="17"/>
        </w:rPr>
        <w:t>变异：</w:t>
      </w:r>
      <w:r>
        <w:rPr>
          <w:rFonts w:ascii="宋体" w:hAnsi="宋体" w:eastAsia="宋体"/>
          <w:b w:val="0"/>
          <w:color w:val="000000"/>
          <w:sz w:val="17"/>
        </w:rPr>
        <w:t>按预先固定的概率执行普通随机变异；存在可解释超限时，可在相应参数块的完整目录邻域中进行定向探测。</w:t>
      </w:r>
    </w:p>
    <w:p>
      <w:pPr>
        <w:spacing w:after="20" w:line="283" w:lineRule="auto"/>
        <w:ind w:left="198" w:right="198"/>
        <w:shd w:fill="F6F8FA"/>
        <w:pBdr>
          <w:left w:val="single" w:sz="5" w:color="B7C3D0"/>
          <w:right w:val="single" w:sz="5" w:color="B7C3D0"/>
        </w:pBdr>
      </w:pPr>
      <w:r>
        <w:rPr>
          <w:rFonts w:ascii="宋体" w:hAnsi="宋体" w:eastAsia="宋体"/>
          <w:b/>
          <w:color w:val="000000"/>
          <w:sz w:val="17"/>
        </w:rPr>
        <w:t>评价与更新：</w:t>
      </w:r>
      <w:r>
        <w:rPr>
          <w:rFonts w:ascii="宋体" w:hAnsi="宋体" w:eastAsia="宋体"/>
          <w:b w:val="0"/>
          <w:color w:val="000000"/>
          <w:sz w:val="17"/>
        </w:rPr>
        <w:t>仅对未命中缓存的合法候选调用 E；更新两类档案和下一代种群；记录候选来源、算子、约束状态和终止原因。</w:t>
      </w:r>
    </w:p>
    <w:p>
      <w:pPr>
        <w:spacing w:after="20" w:line="283" w:lineRule="auto"/>
        <w:ind w:left="198" w:right="198"/>
        <w:shd w:fill="F6F8FA"/>
        <w:pBdr>
          <w:left w:val="single" w:sz="5" w:color="B7C3D0"/>
          <w:right w:val="single" w:sz="5" w:color="B7C3D0"/>
          <w:bottom w:val="single" w:sz="5" w:color="B7C3D0"/>
        </w:pBdr>
      </w:pPr>
      <w:r>
        <w:rPr>
          <w:rFonts w:ascii="宋体" w:hAnsi="宋体" w:eastAsia="宋体"/>
          <w:b/>
          <w:color w:val="000000"/>
          <w:sz w:val="17"/>
        </w:rPr>
        <w:t>终止：</w:t>
      </w:r>
      <w:r>
        <w:rPr>
          <w:rFonts w:ascii="宋体" w:hAnsi="宋体" w:eastAsia="宋体"/>
          <w:b w:val="0"/>
          <w:color w:val="000000"/>
          <w:sz w:val="17"/>
        </w:rPr>
        <w:t>达到真实工程精算预算或预先固定的停止条件后，输出严格可行候选、近可行摘要和完整运行记录。</w:t>
      </w:r>
    </w:p>
    <w:p>
      <w:pPr>
        <w:spacing w:after="40"/>
      </w:pPr>
    </w:p>
    <w:p>
      <w:pPr>
        <w:pStyle w:val="Heading1"/>
        <w:keepNext/>
        <w:spacing w:before="320" w:after="140"/>
      </w:pPr>
      <w:r>
        <w:rPr>
          <w:rFonts w:ascii="黑体" w:hAnsi="黑体" w:eastAsia="黑体"/>
          <w:b/>
          <w:color w:val="000000"/>
          <w:sz w:val="30"/>
        </w:rPr>
        <w:t>4 实验设计与评价方法</w:t>
      </w:r>
    </w:p>
    <w:p>
      <w:pPr>
        <w:pStyle w:val="Heading2"/>
        <w:keepNext/>
        <w:spacing w:before="200" w:after="140"/>
      </w:pPr>
      <w:r>
        <w:rPr>
          <w:rFonts w:ascii="黑体" w:hAnsi="黑体" w:eastAsia="黑体"/>
          <w:b/>
          <w:color w:val="000000"/>
          <w:sz w:val="24"/>
        </w:rPr>
        <w:t>4.1 工程计算一致性是比较前提</w:t>
      </w:r>
    </w:p>
    <w:p>
      <w:pPr>
        <w:spacing w:line="360" w:lineRule="auto" w:after="120"/>
        <w:ind w:firstLine="420"/>
      </w:pPr>
      <w:r>
        <w:rPr>
          <w:rFonts w:ascii="宋体" w:hAnsi="宋体" w:eastAsia="宋体"/>
          <w:b w:val="0"/>
          <w:color w:val="000000"/>
          <w:sz w:val="21"/>
        </w:rPr>
        <w:t>遗传算法的比较建立在工程精算结果可信的前提上。因此，在运行优化实验之前，应针对圆形、长圆形、椭圆形铁芯以及不同冷却结构准备固定输入样本，保存已有工程计算程序的全字段输出，再与优化器调用的精算结果逐项比较。除损耗、阻抗和绕组几何外，还应覆盖温升、油量、油箱重量和成本分项。未通过一致性检查的分支不能进入主实验的工程结论。</w:t>
      </w:r>
    </w:p>
    <w:p>
      <w:pPr>
        <w:pStyle w:val="Heading2"/>
        <w:keepNext/>
        <w:spacing w:before="200" w:after="140"/>
      </w:pPr>
      <w:r>
        <w:rPr>
          <w:rFonts w:ascii="黑体" w:hAnsi="黑体" w:eastAsia="黑体"/>
          <w:b/>
          <w:color w:val="000000"/>
          <w:sz w:val="24"/>
        </w:rPr>
        <w:t>4.2 公平比较设置</w:t>
      </w:r>
    </w:p>
    <w:p>
      <w:pPr>
        <w:spacing w:line="360" w:lineRule="auto" w:after="120"/>
        <w:ind w:firstLine="420"/>
      </w:pPr>
      <w:r>
        <w:rPr>
          <w:rFonts w:ascii="宋体" w:hAnsi="宋体" w:eastAsia="宋体"/>
          <w:b w:val="0"/>
          <w:color w:val="000000"/>
          <w:sz w:val="21"/>
        </w:rPr>
        <w:t>正式实验应分成两类比较，避免把多个机制同时改变后仍宣称单一算子有效。第一类为“整体方案比较”：结构化随机搜索仅从合法候选域抽样；基础遗传算法使用相同候选表示、合法性检查和共同初始候选数，但只保留随机初始化、常规交叉与常规随机变异；本文方法使用第 3 节完整规则。第二类为消融比较：每次只移除系统化覆盖、相似历史种子、近可行档案或定向变异中的一个机制，其余规则保持不变。</w:t>
      </w:r>
    </w:p>
    <w:p>
      <w:pPr>
        <w:spacing w:line="360" w:lineRule="auto" w:after="120"/>
        <w:ind w:firstLine="420"/>
      </w:pPr>
      <w:r>
        <w:rPr>
          <w:rFonts w:ascii="宋体" w:hAnsi="宋体" w:eastAsia="宋体"/>
          <w:b w:val="0"/>
          <w:color w:val="000000"/>
          <w:sz w:val="21"/>
        </w:rPr>
        <w:t>每个场景的主比较必须固定候选域、工程精算器版本、价格快照、初始真实精算支出、共同种群规模 N0 和真实精算总预算。初始候选的评价同样计入预算；缓存命中和无效候选单独统计，不能用代数、候选总数或档案大小替代预算。若整体方案比较允许本文方法使用历史种子，应在报告中明确这是“含历史信息的方案比较”；如要隔离遗传机制本身，应另设所有方法均不使用历史种子的控制实验。</w:t>
      </w:r>
    </w:p>
    <w:p>
      <w:pPr>
        <w:spacing w:line="360" w:lineRule="auto" w:after="120"/>
        <w:ind w:firstLine="420"/>
      </w:pPr>
      <w:r>
        <w:rPr>
          <w:rFonts w:ascii="宋体" w:hAnsi="宋体" w:eastAsia="宋体"/>
          <w:b w:val="0"/>
          <w:color w:val="000000"/>
          <w:sz w:val="21"/>
        </w:rPr>
        <w:t>随机种子应按“场景×方法×重复编号”生成可追溯的独立随机流。同一重复编号形成配对比较，但不同方法不应被要求消耗同一串随机数；否则它们因分支结构不同而产生的随机数消耗差异会污染结果。调参预算、停止规则、缓存规则和局部探测是否计入预算，也必须在实验开始前统一写入方案。</w:t>
      </w:r>
    </w:p>
    <w:p>
      <w:pPr>
        <w:spacing w:before="160" w:after="80"/>
      </w:pPr>
      <w:r>
        <w:rPr>
          <w:rFonts w:ascii="宋体" w:hAnsi="宋体" w:eastAsia="宋体"/>
          <w:b/>
          <w:color w:val="000000"/>
          <w:sz w:val="19"/>
        </w:rPr>
        <w:t>表 3  正式实验需要预先固定的比较条件</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757"/>
            <w:vAlign w:val="center"/>
            <w:shd w:fill="1F4E79"/>
            <w:tcBorders>
              <w:top w:val="single" w:sz="6" w:color="D9D9D9"/>
              <w:left w:val="single" w:sz="6" w:color="D9D9D9"/>
              <w:bottom w:val="single" w:sz="6" w:color="D9D9D9"/>
              <w:right w:val="single" w:sz="6" w:color="D9D9D9"/>
            </w:tcBorders>
          </w:tcPr>
          <w:p>
            <w:pPr>
              <w:jc w:val="center"/>
            </w:pPr>
            <w:r>
              <w:rPr>
                <w:rFonts w:ascii="黑体" w:hAnsi="黑体" w:eastAsia="黑体"/>
                <w:b/>
                <w:color w:val="FFFFFF"/>
                <w:sz w:val="16"/>
              </w:rPr>
              <w:t>项目</w:t>
            </w:r>
          </w:p>
        </w:tc>
        <w:tc>
          <w:tcPr>
            <w:tcW w:type="dxa" w:w="4082"/>
            <w:vAlign w:val="center"/>
            <w:shd w:fill="1F4E79"/>
            <w:tcBorders>
              <w:top w:val="single" w:sz="6" w:color="D9D9D9"/>
              <w:left w:val="single" w:sz="6" w:color="D9D9D9"/>
              <w:bottom w:val="single" w:sz="6" w:color="D9D9D9"/>
              <w:right w:val="single" w:sz="6" w:color="D9D9D9"/>
            </w:tcBorders>
          </w:tcPr>
          <w:p>
            <w:pPr>
              <w:jc w:val="center"/>
            </w:pPr>
            <w:r>
              <w:rPr>
                <w:rFonts w:ascii="黑体" w:hAnsi="黑体" w:eastAsia="黑体"/>
                <w:b/>
                <w:color w:val="FFFFFF"/>
                <w:sz w:val="16"/>
              </w:rPr>
              <w:t>固定方式</w:t>
            </w:r>
          </w:p>
        </w:tc>
        <w:tc>
          <w:tcPr>
            <w:tcW w:type="dxa" w:w="3572"/>
            <w:vAlign w:val="center"/>
            <w:shd w:fill="1F4E79"/>
            <w:tcBorders>
              <w:top w:val="single" w:sz="6" w:color="D9D9D9"/>
              <w:left w:val="single" w:sz="6" w:color="D9D9D9"/>
              <w:bottom w:val="single" w:sz="6" w:color="D9D9D9"/>
              <w:right w:val="single" w:sz="6" w:color="D9D9D9"/>
            </w:tcBorders>
          </w:tcPr>
          <w:p>
            <w:pPr>
              <w:jc w:val="center"/>
            </w:pPr>
            <w:r>
              <w:rPr>
                <w:rFonts w:ascii="黑体" w:hAnsi="黑体" w:eastAsia="黑体"/>
                <w:b/>
                <w:color w:val="FFFFFF"/>
                <w:sz w:val="16"/>
              </w:rPr>
              <w:t>报告目的</w:t>
            </w:r>
          </w:p>
        </w:tc>
      </w:tr>
      <w:tr>
        <w:tc>
          <w:tcPr>
            <w:tcW w:type="dxa" w:w="1757"/>
            <w:vAlign w:val="center"/>
            <w:tcBorders>
              <w:top w:val="single" w:sz="6" w:color="D9D9D9"/>
              <w:left w:val="single" w:sz="6" w:color="D9D9D9"/>
              <w:bottom w:val="single" w:sz="6" w:color="D9D9D9"/>
              <w:right w:val="single" w:sz="6" w:color="D9D9D9"/>
            </w:tcBorders>
          </w:tcPr>
          <w:p>
            <w:pPr>
              <w:jc w:val="left"/>
            </w:pPr>
            <w:r>
              <w:rPr>
                <w:rFonts w:ascii="宋体" w:hAnsi="宋体" w:eastAsia="宋体"/>
                <w:b w:val="0"/>
                <w:color w:val="000000"/>
                <w:sz w:val="16"/>
              </w:rPr>
              <w:t>优化场景</w:t>
            </w:r>
          </w:p>
        </w:tc>
        <w:tc>
          <w:tcPr>
            <w:tcW w:type="dxa" w:w="4082"/>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覆盖不同铁芯形状、冷却结构与搜索域规模</w:t>
            </w:r>
          </w:p>
        </w:tc>
        <w:tc>
          <w:tcPr>
            <w:tcW w:type="dxa" w:w="3572"/>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避免只在容易样本上比较</w:t>
            </w:r>
          </w:p>
        </w:tc>
      </w:tr>
      <w:tr>
        <w:tc>
          <w:tcPr>
            <w:tcW w:type="dxa" w:w="1757"/>
            <w:vAlign w:val="center"/>
            <w:tcBorders>
              <w:top w:val="single" w:sz="6" w:color="D9D9D9"/>
              <w:left w:val="single" w:sz="6" w:color="D9D9D9"/>
              <w:bottom w:val="single" w:sz="6" w:color="D9D9D9"/>
              <w:right w:val="single" w:sz="6" w:color="D9D9D9"/>
            </w:tcBorders>
            <w:shd w:fill="F4F7FA"/>
          </w:tcPr>
          <w:p>
            <w:pPr>
              <w:jc w:val="left"/>
            </w:pPr>
            <w:r>
              <w:rPr>
                <w:rFonts w:ascii="宋体" w:hAnsi="宋体" w:eastAsia="宋体"/>
                <w:b w:val="0"/>
                <w:color w:val="000000"/>
                <w:sz w:val="16"/>
              </w:rPr>
              <w:t>比较方法</w:t>
            </w:r>
          </w:p>
        </w:tc>
        <w:tc>
          <w:tcPr>
            <w:tcW w:type="dxa" w:w="4082"/>
            <w:vAlign w:val="center"/>
            <w:tcBorders>
              <w:top w:val="single" w:sz="6" w:color="D9D9D9"/>
              <w:left w:val="single" w:sz="6" w:color="D9D9D9"/>
              <w:bottom w:val="single" w:sz="6" w:color="D9D9D9"/>
              <w:right w:val="single" w:sz="6" w:color="D9D9D9"/>
            </w:tcBorders>
            <w:shd w:fill="F4F7FA"/>
          </w:tcPr>
          <w:p>
            <w:pPr>
              <w:jc w:val="center"/>
            </w:pPr>
            <w:r>
              <w:rPr>
                <w:rFonts w:ascii="宋体" w:hAnsi="宋体" w:eastAsia="宋体"/>
                <w:b w:val="0"/>
                <w:color w:val="000000"/>
                <w:sz w:val="16"/>
              </w:rPr>
              <w:t>本文方法、结构化随机搜索、基础遗传算法</w:t>
            </w:r>
          </w:p>
        </w:tc>
        <w:tc>
          <w:tcPr>
            <w:tcW w:type="dxa" w:w="3572"/>
            <w:vAlign w:val="center"/>
            <w:tcBorders>
              <w:top w:val="single" w:sz="6" w:color="D9D9D9"/>
              <w:left w:val="single" w:sz="6" w:color="D9D9D9"/>
              <w:bottom w:val="single" w:sz="6" w:color="D9D9D9"/>
              <w:right w:val="single" w:sz="6" w:color="D9D9D9"/>
            </w:tcBorders>
            <w:shd w:fill="F4F7FA"/>
          </w:tcPr>
          <w:p>
            <w:pPr>
              <w:jc w:val="center"/>
            </w:pPr>
            <w:r>
              <w:rPr>
                <w:rFonts w:ascii="宋体" w:hAnsi="宋体" w:eastAsia="宋体"/>
                <w:b w:val="0"/>
                <w:color w:val="000000"/>
                <w:sz w:val="16"/>
              </w:rPr>
              <w:t>区分遗传机制与单纯随机探索的作用</w:t>
            </w:r>
          </w:p>
        </w:tc>
      </w:tr>
      <w:tr>
        <w:tc>
          <w:tcPr>
            <w:tcW w:type="dxa" w:w="1757"/>
            <w:vAlign w:val="center"/>
            <w:tcBorders>
              <w:top w:val="single" w:sz="6" w:color="D9D9D9"/>
              <w:left w:val="single" w:sz="6" w:color="D9D9D9"/>
              <w:bottom w:val="single" w:sz="6" w:color="D9D9D9"/>
              <w:right w:val="single" w:sz="6" w:color="D9D9D9"/>
            </w:tcBorders>
          </w:tcPr>
          <w:p>
            <w:pPr>
              <w:jc w:val="left"/>
            </w:pPr>
            <w:r>
              <w:rPr>
                <w:rFonts w:ascii="宋体" w:hAnsi="宋体" w:eastAsia="宋体"/>
                <w:b w:val="0"/>
                <w:color w:val="000000"/>
                <w:sz w:val="16"/>
              </w:rPr>
              <w:t>计算预算</w:t>
            </w:r>
          </w:p>
        </w:tc>
        <w:tc>
          <w:tcPr>
            <w:tcW w:type="dxa" w:w="4082"/>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每次运行相同的真实工程精算次数上限</w:t>
            </w:r>
          </w:p>
        </w:tc>
        <w:tc>
          <w:tcPr>
            <w:tcW w:type="dxa" w:w="3572"/>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保证比较公平</w:t>
            </w:r>
          </w:p>
        </w:tc>
      </w:tr>
      <w:tr>
        <w:tc>
          <w:tcPr>
            <w:tcW w:type="dxa" w:w="1757"/>
            <w:vAlign w:val="center"/>
            <w:tcBorders>
              <w:top w:val="single" w:sz="6" w:color="D9D9D9"/>
              <w:left w:val="single" w:sz="6" w:color="D9D9D9"/>
              <w:bottom w:val="single" w:sz="6" w:color="D9D9D9"/>
              <w:right w:val="single" w:sz="6" w:color="D9D9D9"/>
            </w:tcBorders>
            <w:shd w:fill="F4F7FA"/>
          </w:tcPr>
          <w:p>
            <w:pPr>
              <w:jc w:val="left"/>
            </w:pPr>
            <w:r>
              <w:rPr>
                <w:rFonts w:ascii="宋体" w:hAnsi="宋体" w:eastAsia="宋体"/>
                <w:b w:val="0"/>
                <w:color w:val="000000"/>
                <w:sz w:val="16"/>
              </w:rPr>
              <w:t>随机性</w:t>
            </w:r>
          </w:p>
        </w:tc>
        <w:tc>
          <w:tcPr>
            <w:tcW w:type="dxa" w:w="4082"/>
            <w:vAlign w:val="center"/>
            <w:tcBorders>
              <w:top w:val="single" w:sz="6" w:color="D9D9D9"/>
              <w:left w:val="single" w:sz="6" w:color="D9D9D9"/>
              <w:bottom w:val="single" w:sz="6" w:color="D9D9D9"/>
              <w:right w:val="single" w:sz="6" w:color="D9D9D9"/>
            </w:tcBorders>
            <w:shd w:fill="F4F7FA"/>
          </w:tcPr>
          <w:p>
            <w:pPr>
              <w:jc w:val="center"/>
            </w:pPr>
            <w:r>
              <w:rPr>
                <w:rFonts w:ascii="宋体" w:hAnsi="宋体" w:eastAsia="宋体"/>
                <w:b w:val="0"/>
                <w:color w:val="000000"/>
                <w:sz w:val="16"/>
              </w:rPr>
              <w:t>各方法使用同一组随机种子并重复运行</w:t>
            </w:r>
          </w:p>
        </w:tc>
        <w:tc>
          <w:tcPr>
            <w:tcW w:type="dxa" w:w="3572"/>
            <w:vAlign w:val="center"/>
            <w:tcBorders>
              <w:top w:val="single" w:sz="6" w:color="D9D9D9"/>
              <w:left w:val="single" w:sz="6" w:color="D9D9D9"/>
              <w:bottom w:val="single" w:sz="6" w:color="D9D9D9"/>
              <w:right w:val="single" w:sz="6" w:color="D9D9D9"/>
            </w:tcBorders>
            <w:shd w:fill="F4F7FA"/>
          </w:tcPr>
          <w:p>
            <w:pPr>
              <w:jc w:val="center"/>
            </w:pPr>
            <w:r>
              <w:rPr>
                <w:rFonts w:ascii="宋体" w:hAnsi="宋体" w:eastAsia="宋体"/>
                <w:b w:val="0"/>
                <w:color w:val="000000"/>
                <w:sz w:val="16"/>
              </w:rPr>
              <w:t>估计稳定性与不确定性</w:t>
            </w:r>
          </w:p>
        </w:tc>
      </w:tr>
      <w:tr>
        <w:tc>
          <w:tcPr>
            <w:tcW w:type="dxa" w:w="1757"/>
            <w:vAlign w:val="center"/>
            <w:tcBorders>
              <w:top w:val="single" w:sz="6" w:color="D9D9D9"/>
              <w:left w:val="single" w:sz="6" w:color="D9D9D9"/>
              <w:bottom w:val="single" w:sz="6" w:color="D9D9D9"/>
              <w:right w:val="single" w:sz="6" w:color="D9D9D9"/>
            </w:tcBorders>
          </w:tcPr>
          <w:p>
            <w:pPr>
              <w:jc w:val="left"/>
            </w:pPr>
            <w:r>
              <w:rPr>
                <w:rFonts w:ascii="宋体" w:hAnsi="宋体" w:eastAsia="宋体"/>
                <w:b w:val="0"/>
                <w:color w:val="000000"/>
                <w:sz w:val="16"/>
              </w:rPr>
              <w:t>结果保存</w:t>
            </w:r>
          </w:p>
        </w:tc>
        <w:tc>
          <w:tcPr>
            <w:tcW w:type="dxa" w:w="4082"/>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完整候选、性能、成本、约束、运行轨迹</w:t>
            </w:r>
          </w:p>
        </w:tc>
        <w:tc>
          <w:tcPr>
            <w:tcW w:type="dxa" w:w="3572"/>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支持复算与失败案例分析</w:t>
            </w:r>
          </w:p>
        </w:tc>
      </w:tr>
    </w:tbl>
    <w:p>
      <w:pPr>
        <w:spacing w:after="40"/>
      </w:pPr>
    </w:p>
    <w:p>
      <w:pPr>
        <w:pStyle w:val="Heading2"/>
        <w:keepNext/>
        <w:spacing w:before="200" w:after="140"/>
      </w:pPr>
      <w:r>
        <w:rPr>
          <w:rFonts w:ascii="黑体" w:hAnsi="黑体" w:eastAsia="黑体"/>
          <w:b/>
          <w:color w:val="000000"/>
          <w:sz w:val="24"/>
        </w:rPr>
        <w:t>4.3 指标与统计分析</w:t>
      </w:r>
    </w:p>
    <w:p>
      <w:pPr>
        <w:spacing w:line="360" w:lineRule="auto" w:after="120"/>
        <w:ind w:firstLine="420"/>
      </w:pPr>
      <w:r>
        <w:rPr>
          <w:rFonts w:ascii="宋体" w:hAnsi="宋体" w:eastAsia="宋体"/>
          <w:b w:val="0"/>
          <w:color w:val="000000"/>
          <w:sz w:val="21"/>
        </w:rPr>
        <w:t>运行级指标包括：在给定预算内发现至少一个严格可行方案的比例、首次发现严格可行方案时消耗的工程精算次数、运行内最低严格成本和实际墙钟时间。候选级指标包括：通过合法性检查的比例、完成精算的比例和严格可行候选比例。成本只对成功运行计算；未找到严格可行解的运行应报告其最优近可行状态，而不能以不合格候选成本填补。</w:t>
      </w:r>
    </w:p>
    <w:p>
      <w:pPr>
        <w:spacing w:line="360" w:lineRule="auto" w:after="120"/>
        <w:ind w:firstLine="420"/>
      </w:pPr>
      <w:r>
        <w:rPr>
          <w:rFonts w:ascii="宋体" w:hAnsi="宋体" w:eastAsia="宋体"/>
          <w:b w:val="0"/>
          <w:color w:val="000000"/>
          <w:sz w:val="21"/>
        </w:rPr>
        <w:t>建议在正式实验前预注册统计决策：以独立随机种子为配对单位，成功比例使用 95% 置信区间；首次严格可行精算次数和成功运行的最低严格成本报告中位数、四分位区间及成功样本数，并以双侧配对 Wilcoxon 符号秩检验（显著性水平 0.05）和效应量报告方法差异。重复次数 R 不应因“30 次”这一示例数字而被视为天然充分，而应根据先导实验的波动和实际精算预算确定。跨场景汇总前应先逐场景展示结果；不同搜索域的难度可能相差很大，不能仅凭总平均值得出泛化结论。</w:t>
      </w:r>
    </w:p>
    <w:p>
      <w:pPr>
        <w:pStyle w:val="Heading1"/>
        <w:keepNext/>
        <w:pageBreakBefore/>
        <w:spacing w:before="320" w:after="140"/>
      </w:pPr>
      <w:r>
        <w:rPr>
          <w:rFonts w:ascii="黑体" w:hAnsi="黑体" w:eastAsia="黑体"/>
          <w:b/>
          <w:color w:val="000000"/>
          <w:sz w:val="30"/>
        </w:rPr>
        <w:t>5 示例结果与分析写法</w:t>
      </w:r>
    </w:p>
    <w:p>
      <w:pPr>
        <w:spacing w:line="360" w:lineRule="auto" w:after="140"/>
        <w:ind w:firstLine="420"/>
      </w:pPr>
      <w:r>
        <w:rPr>
          <w:rFonts w:ascii="宋体" w:hAnsi="宋体" w:eastAsia="宋体"/>
          <w:b/>
          <w:color w:val="000000"/>
          <w:sz w:val="21"/>
        </w:rPr>
        <w:t>本章所有数字</w:t>
      </w:r>
      <w:r>
        <w:rPr>
          <w:rFonts w:ascii="宋体" w:hAnsi="宋体" w:eastAsia="宋体"/>
          <w:b w:val="0"/>
          <w:color w:val="000000"/>
          <w:sz w:val="21"/>
        </w:rPr>
        <w:t>均为虚构示例，不是实验结果，也不能用于引用或比较。其目的是说明真实实验完成后应如何组织结果，不代表当前项目已经获得图中的效果。</w:t>
      </w:r>
    </w:p>
    <w:p>
      <w:pPr>
        <w:pStyle w:val="Heading2"/>
        <w:keepNext/>
        <w:spacing w:before="200" w:after="140"/>
      </w:pPr>
      <w:r>
        <w:rPr>
          <w:rFonts w:ascii="黑体" w:hAnsi="黑体" w:eastAsia="黑体"/>
          <w:b/>
          <w:color w:val="000000"/>
          <w:sz w:val="24"/>
        </w:rPr>
        <w:t>5.1 先报告能否找到严格可行方案</w:t>
      </w:r>
    </w:p>
    <w:p>
      <w:pPr>
        <w:spacing w:before="160" w:after="80"/>
      </w:pPr>
      <w:r>
        <w:rPr>
          <w:rFonts w:ascii="宋体" w:hAnsi="宋体" w:eastAsia="宋体"/>
          <w:b/>
          <w:color w:val="000000"/>
          <w:sz w:val="19"/>
        </w:rPr>
        <w:t>表 4  某一中等难度场景的示例结果（30 次运行，虚构数据）</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098"/>
            <w:vAlign w:val="center"/>
            <w:shd w:fill="1F4E79"/>
            <w:tcBorders>
              <w:top w:val="single" w:sz="6" w:color="D9D9D9"/>
              <w:left w:val="single" w:sz="6" w:color="D9D9D9"/>
              <w:bottom w:val="single" w:sz="6" w:color="D9D9D9"/>
              <w:right w:val="single" w:sz="6" w:color="D9D9D9"/>
            </w:tcBorders>
          </w:tcPr>
          <w:p>
            <w:pPr>
              <w:jc w:val="center"/>
            </w:pPr>
            <w:r>
              <w:rPr>
                <w:rFonts w:ascii="黑体" w:hAnsi="黑体" w:eastAsia="黑体"/>
                <w:b/>
                <w:color w:val="FFFFFF"/>
                <w:sz w:val="16"/>
              </w:rPr>
              <w:t>方法</w:t>
            </w:r>
          </w:p>
        </w:tc>
        <w:tc>
          <w:tcPr>
            <w:tcW w:type="dxa" w:w="1984"/>
            <w:vAlign w:val="center"/>
            <w:shd w:fill="1F4E79"/>
            <w:tcBorders>
              <w:top w:val="single" w:sz="6" w:color="D9D9D9"/>
              <w:left w:val="single" w:sz="6" w:color="D9D9D9"/>
              <w:bottom w:val="single" w:sz="6" w:color="D9D9D9"/>
              <w:right w:val="single" w:sz="6" w:color="D9D9D9"/>
            </w:tcBorders>
          </w:tcPr>
          <w:p>
            <w:pPr>
              <w:jc w:val="center"/>
            </w:pPr>
            <w:r>
              <w:rPr>
                <w:rFonts w:ascii="黑体" w:hAnsi="黑体" w:eastAsia="黑体"/>
                <w:b/>
                <w:color w:val="FFFFFF"/>
                <w:sz w:val="16"/>
              </w:rPr>
              <w:t>严格可行运行比例</w:t>
            </w:r>
          </w:p>
        </w:tc>
        <w:tc>
          <w:tcPr>
            <w:tcW w:type="dxa" w:w="2551"/>
            <w:vAlign w:val="center"/>
            <w:shd w:fill="1F4E79"/>
            <w:tcBorders>
              <w:top w:val="single" w:sz="6" w:color="D9D9D9"/>
              <w:left w:val="single" w:sz="6" w:color="D9D9D9"/>
              <w:bottom w:val="single" w:sz="6" w:color="D9D9D9"/>
              <w:right w:val="single" w:sz="6" w:color="D9D9D9"/>
            </w:tcBorders>
          </w:tcPr>
          <w:p>
            <w:pPr>
              <w:jc w:val="center"/>
            </w:pPr>
            <w:r>
              <w:rPr>
                <w:rFonts w:ascii="黑体" w:hAnsi="黑体" w:eastAsia="黑体"/>
                <w:b/>
                <w:color w:val="FFFFFF"/>
                <w:sz w:val="16"/>
              </w:rPr>
              <w:t>首次严格可行</w:t>
              <w:br/>
              <w:t>精算次数，中位数[IQR]</w:t>
            </w:r>
          </w:p>
        </w:tc>
        <w:tc>
          <w:tcPr>
            <w:tcW w:type="dxa" w:w="2778"/>
            <w:vAlign w:val="center"/>
            <w:shd w:fill="1F4E79"/>
            <w:tcBorders>
              <w:top w:val="single" w:sz="6" w:color="D9D9D9"/>
              <w:left w:val="single" w:sz="6" w:color="D9D9D9"/>
              <w:bottom w:val="single" w:sz="6" w:color="D9D9D9"/>
              <w:right w:val="single" w:sz="6" w:color="D9D9D9"/>
            </w:tcBorders>
          </w:tcPr>
          <w:p>
            <w:pPr>
              <w:jc w:val="center"/>
            </w:pPr>
            <w:r>
              <w:rPr>
                <w:rFonts w:ascii="黑体" w:hAnsi="黑体" w:eastAsia="黑体"/>
                <w:b/>
                <w:color w:val="FFFFFF"/>
                <w:sz w:val="16"/>
              </w:rPr>
              <w:t>最低严格成本</w:t>
              <w:br/>
              <w:t>中位数[IQR]，万元</w:t>
            </w:r>
          </w:p>
        </w:tc>
      </w:tr>
      <w:tr>
        <w:tc>
          <w:tcPr>
            <w:tcW w:type="dxa" w:w="2098"/>
            <w:vAlign w:val="center"/>
            <w:tcBorders>
              <w:top w:val="single" w:sz="6" w:color="D9D9D9"/>
              <w:left w:val="single" w:sz="6" w:color="D9D9D9"/>
              <w:bottom w:val="single" w:sz="6" w:color="D9D9D9"/>
              <w:right w:val="single" w:sz="6" w:color="D9D9D9"/>
            </w:tcBorders>
          </w:tcPr>
          <w:p>
            <w:pPr>
              <w:jc w:val="left"/>
            </w:pPr>
            <w:r>
              <w:rPr>
                <w:rFonts w:ascii="宋体" w:hAnsi="宋体" w:eastAsia="宋体"/>
                <w:b w:val="0"/>
                <w:color w:val="000000"/>
                <w:sz w:val="16"/>
              </w:rPr>
              <w:t>结构化随机搜索</w:t>
            </w:r>
          </w:p>
        </w:tc>
        <w:tc>
          <w:tcPr>
            <w:tcW w:type="dxa" w:w="1984"/>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46.7%</w:t>
            </w:r>
          </w:p>
        </w:tc>
        <w:tc>
          <w:tcPr>
            <w:tcW w:type="dxa" w:w="2551"/>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1,340 [1,110, 1,590]</w:t>
            </w:r>
          </w:p>
        </w:tc>
        <w:tc>
          <w:tcPr>
            <w:tcW w:type="dxa" w:w="2778"/>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26.94 [26.78, 27.12]</w:t>
            </w:r>
          </w:p>
        </w:tc>
      </w:tr>
      <w:tr>
        <w:tc>
          <w:tcPr>
            <w:tcW w:type="dxa" w:w="2098"/>
            <w:vAlign w:val="center"/>
            <w:tcBorders>
              <w:top w:val="single" w:sz="6" w:color="D9D9D9"/>
              <w:left w:val="single" w:sz="6" w:color="D9D9D9"/>
              <w:bottom w:val="single" w:sz="6" w:color="D9D9D9"/>
              <w:right w:val="single" w:sz="6" w:color="D9D9D9"/>
            </w:tcBorders>
            <w:shd w:fill="F4F7FA"/>
          </w:tcPr>
          <w:p>
            <w:pPr>
              <w:jc w:val="left"/>
            </w:pPr>
            <w:r>
              <w:rPr>
                <w:rFonts w:ascii="宋体" w:hAnsi="宋体" w:eastAsia="宋体"/>
                <w:b w:val="0"/>
                <w:color w:val="000000"/>
                <w:sz w:val="16"/>
              </w:rPr>
              <w:t>基础遗传算法</w:t>
            </w:r>
          </w:p>
        </w:tc>
        <w:tc>
          <w:tcPr>
            <w:tcW w:type="dxa" w:w="1984"/>
            <w:vAlign w:val="center"/>
            <w:tcBorders>
              <w:top w:val="single" w:sz="6" w:color="D9D9D9"/>
              <w:left w:val="single" w:sz="6" w:color="D9D9D9"/>
              <w:bottom w:val="single" w:sz="6" w:color="D9D9D9"/>
              <w:right w:val="single" w:sz="6" w:color="D9D9D9"/>
            </w:tcBorders>
            <w:shd w:fill="F4F7FA"/>
          </w:tcPr>
          <w:p>
            <w:pPr>
              <w:jc w:val="center"/>
            </w:pPr>
            <w:r>
              <w:rPr>
                <w:rFonts w:ascii="宋体" w:hAnsi="宋体" w:eastAsia="宋体"/>
                <w:b w:val="0"/>
                <w:color w:val="000000"/>
                <w:sz w:val="16"/>
              </w:rPr>
              <w:t>76.7%</w:t>
            </w:r>
          </w:p>
        </w:tc>
        <w:tc>
          <w:tcPr>
            <w:tcW w:type="dxa" w:w="2551"/>
            <w:vAlign w:val="center"/>
            <w:tcBorders>
              <w:top w:val="single" w:sz="6" w:color="D9D9D9"/>
              <w:left w:val="single" w:sz="6" w:color="D9D9D9"/>
              <w:bottom w:val="single" w:sz="6" w:color="D9D9D9"/>
              <w:right w:val="single" w:sz="6" w:color="D9D9D9"/>
            </w:tcBorders>
            <w:shd w:fill="F4F7FA"/>
          </w:tcPr>
          <w:p>
            <w:pPr>
              <w:jc w:val="center"/>
            </w:pPr>
            <w:r>
              <w:rPr>
                <w:rFonts w:ascii="宋体" w:hAnsi="宋体" w:eastAsia="宋体"/>
                <w:b w:val="0"/>
                <w:color w:val="000000"/>
                <w:sz w:val="16"/>
              </w:rPr>
              <w:t>910 [760, 1,170]</w:t>
            </w:r>
          </w:p>
        </w:tc>
        <w:tc>
          <w:tcPr>
            <w:tcW w:type="dxa" w:w="2778"/>
            <w:vAlign w:val="center"/>
            <w:tcBorders>
              <w:top w:val="single" w:sz="6" w:color="D9D9D9"/>
              <w:left w:val="single" w:sz="6" w:color="D9D9D9"/>
              <w:bottom w:val="single" w:sz="6" w:color="D9D9D9"/>
              <w:right w:val="single" w:sz="6" w:color="D9D9D9"/>
            </w:tcBorders>
            <w:shd w:fill="F4F7FA"/>
          </w:tcPr>
          <w:p>
            <w:pPr>
              <w:jc w:val="center"/>
            </w:pPr>
            <w:r>
              <w:rPr>
                <w:rFonts w:ascii="宋体" w:hAnsi="宋体" w:eastAsia="宋体"/>
                <w:b w:val="0"/>
                <w:color w:val="000000"/>
                <w:sz w:val="16"/>
              </w:rPr>
              <w:t>26.31 [26.19, 26.44]</w:t>
            </w:r>
          </w:p>
        </w:tc>
      </w:tr>
      <w:tr>
        <w:tc>
          <w:tcPr>
            <w:tcW w:type="dxa" w:w="2098"/>
            <w:vAlign w:val="center"/>
            <w:tcBorders>
              <w:top w:val="single" w:sz="6" w:color="D9D9D9"/>
              <w:left w:val="single" w:sz="6" w:color="D9D9D9"/>
              <w:bottom w:val="single" w:sz="6" w:color="D9D9D9"/>
              <w:right w:val="single" w:sz="6" w:color="D9D9D9"/>
            </w:tcBorders>
          </w:tcPr>
          <w:p>
            <w:pPr>
              <w:jc w:val="left"/>
            </w:pPr>
            <w:r>
              <w:rPr>
                <w:rFonts w:ascii="宋体" w:hAnsi="宋体" w:eastAsia="宋体"/>
                <w:b w:val="0"/>
                <w:color w:val="000000"/>
                <w:sz w:val="16"/>
              </w:rPr>
              <w:t>本文方法</w:t>
            </w:r>
          </w:p>
        </w:tc>
        <w:tc>
          <w:tcPr>
            <w:tcW w:type="dxa" w:w="1984"/>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96.7%</w:t>
            </w:r>
          </w:p>
        </w:tc>
        <w:tc>
          <w:tcPr>
            <w:tcW w:type="dxa" w:w="2551"/>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660 [540, 820]</w:t>
            </w:r>
          </w:p>
        </w:tc>
        <w:tc>
          <w:tcPr>
            <w:tcW w:type="dxa" w:w="2778"/>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25.78 [25.68, 25.87]</w:t>
            </w:r>
          </w:p>
        </w:tc>
      </w:tr>
    </w:tbl>
    <w:p>
      <w:pPr>
        <w:spacing w:after="40"/>
      </w:pPr>
    </w:p>
    <w:p>
      <w:pPr>
        <w:spacing w:line="360" w:lineRule="auto" w:after="120"/>
        <w:ind w:firstLine="420"/>
      </w:pPr>
      <w:r>
        <w:rPr>
          <w:rFonts w:ascii="宋体" w:hAnsi="宋体" w:eastAsia="宋体"/>
          <w:b w:val="0"/>
          <w:color w:val="000000"/>
          <w:sz w:val="21"/>
        </w:rPr>
        <w:t>本表为虚构示例，非实验结果；正式表格必须同时列出每项成本统计的成功样本数。结果分析应遵循由可行性到成本的顺序。以表 4 的虚构数据为例，本文方法首先表现为更高的严格可行运行比例，其次才在成功运行中呈现较低的最低严格成本。若某个场景的成功比例较低，则成本比较没有足够基础；此时应如实报告失败运行的近可行状态，并讨论是预算不足、搜索域过大还是约束之间存在难以协调的冲突。</w:t>
      </w:r>
    </w:p>
    <w:p>
      <w:r>
        <w:drawing>
          <wp:inline xmlns:a="http://schemas.openxmlformats.org/drawingml/2006/main" xmlns:pic="http://schemas.openxmlformats.org/drawingml/2006/picture">
            <wp:extent cx="5544000" cy="2917895"/>
            <wp:docPr id="5" name="Picture 5" descr="虚构数据：三种方法的严格成本随累计工程精算次数降低的示例曲线，含四分位区间。" title="虚构数据：三种方法的严格成本随累计工程精算次数降低的示例曲线，含四分位区间。"/>
            <wp:cNvGraphicFramePr>
              <a:graphicFrameLocks noChangeAspect="1"/>
            </wp:cNvGraphicFramePr>
            <a:graphic>
              <a:graphicData uri="http://schemas.openxmlformats.org/drawingml/2006/picture">
                <pic:pic>
                  <pic:nvPicPr>
                    <pic:cNvPr id="0" name="图5_收敛示例.png"/>
                    <pic:cNvPicPr/>
                  </pic:nvPicPr>
                  <pic:blipFill>
                    <a:blip r:embed="rId15"/>
                    <a:stretch>
                      <a:fillRect/>
                    </a:stretch>
                  </pic:blipFill>
                  <pic:spPr>
                    <a:xfrm>
                      <a:off x="0" y="0"/>
                      <a:ext cx="5544000" cy="2917895"/>
                    </a:xfrm>
                    <a:prstGeom prst="rect"/>
                  </pic:spPr>
                </pic:pic>
              </a:graphicData>
            </a:graphic>
          </wp:inline>
        </w:drawing>
      </w:r>
    </w:p>
    <w:p>
      <w:pPr>
        <w:spacing w:after="180"/>
        <w:jc w:val="center"/>
      </w:pPr>
      <w:r>
        <w:rPr>
          <w:rFonts w:ascii="宋体" w:hAnsi="宋体" w:eastAsia="宋体"/>
          <w:b w:val="0"/>
          <w:color w:val="000000"/>
          <w:sz w:val="18"/>
        </w:rPr>
        <w:t>图 5  虚构示例：不同搜索策略的运行内最佳严格成本。</w:t>
      </w:r>
    </w:p>
    <w:p>
      <w:r>
        <w:drawing>
          <wp:inline xmlns:a="http://schemas.openxmlformats.org/drawingml/2006/main" xmlns:pic="http://schemas.openxmlformats.org/drawingml/2006/picture">
            <wp:extent cx="5544000" cy="2742821"/>
            <wp:docPr id="6" name="Picture 6" descr="虚构数据：左侧为严格可行运行比例，右侧为成功运行的最低严格成本中位数及四分位区间。" title="虚构数据：左侧为严格可行运行比例，右侧为成功运行的最低严格成本中位数及四分位区间。"/>
            <wp:cNvGraphicFramePr>
              <a:graphicFrameLocks noChangeAspect="1"/>
            </wp:cNvGraphicFramePr>
            <a:graphic>
              <a:graphicData uri="http://schemas.openxmlformats.org/drawingml/2006/picture">
                <pic:pic>
                  <pic:nvPicPr>
                    <pic:cNvPr id="0" name="图6_结果示例.png"/>
                    <pic:cNvPicPr/>
                  </pic:nvPicPr>
                  <pic:blipFill>
                    <a:blip r:embed="rId16"/>
                    <a:stretch>
                      <a:fillRect/>
                    </a:stretch>
                  </pic:blipFill>
                  <pic:spPr>
                    <a:xfrm>
                      <a:off x="0" y="0"/>
                      <a:ext cx="5544000" cy="2742821"/>
                    </a:xfrm>
                    <a:prstGeom prst="rect"/>
                  </pic:spPr>
                </pic:pic>
              </a:graphicData>
            </a:graphic>
          </wp:inline>
        </w:drawing>
      </w:r>
    </w:p>
    <w:p>
      <w:pPr>
        <w:spacing w:after="180"/>
        <w:jc w:val="center"/>
      </w:pPr>
      <w:r>
        <w:rPr>
          <w:rFonts w:ascii="宋体" w:hAnsi="宋体" w:eastAsia="宋体"/>
          <w:b w:val="0"/>
          <w:color w:val="000000"/>
          <w:sz w:val="18"/>
        </w:rPr>
        <w:t>图 6  虚构示例：成功比例与成本应分开报告。</w:t>
      </w:r>
    </w:p>
    <w:p>
      <w:pPr>
        <w:pStyle w:val="Heading2"/>
        <w:keepNext/>
        <w:spacing w:before="200" w:after="140"/>
      </w:pPr>
      <w:r>
        <w:rPr>
          <w:rFonts w:ascii="黑体" w:hAnsi="黑体" w:eastAsia="黑体"/>
          <w:b/>
          <w:color w:val="000000"/>
          <w:sz w:val="24"/>
        </w:rPr>
        <w:t>5.2 结果解释不能只保留正面样本</w:t>
      </w:r>
    </w:p>
    <w:p>
      <w:pPr>
        <w:spacing w:line="360" w:lineRule="auto" w:after="120"/>
        <w:ind w:firstLine="420"/>
      </w:pPr>
      <w:r>
        <w:rPr>
          <w:rFonts w:ascii="宋体" w:hAnsi="宋体" w:eastAsia="宋体"/>
          <w:b w:val="0"/>
          <w:color w:val="000000"/>
          <w:sz w:val="21"/>
        </w:rPr>
        <w:t>正式论文应同时展示容易、中等和困难场景。例如，某些小搜索域中不同方法都能较快找到严格可行解，此时本文方法即使成本略低，也未必具有实质性优势；而在困难场景中，如果所有方法都很少成功，则应报告成功比例和失败原因，而不是只挑选成功运行中的少量成本点进行比较。图 5 的每个预算点都应同步标注成功运行数 n_t/R，或仅在满足预先规定最小成功样本数的点比较成本，避免将不同成功样本集合的差异误读为成本差异。对于每一项“改进”，应给出对应的场景、预算、重复次数、统计检验和效应量。</w:t>
      </w:r>
    </w:p>
    <w:p>
      <w:pPr>
        <w:pStyle w:val="Heading2"/>
        <w:keepNext/>
        <w:spacing w:before="200" w:after="140"/>
      </w:pPr>
      <w:r>
        <w:rPr>
          <w:rFonts w:ascii="黑体" w:hAnsi="黑体" w:eastAsia="黑体"/>
          <w:b/>
          <w:color w:val="000000"/>
          <w:sz w:val="24"/>
        </w:rPr>
        <w:t>5.3 消融实验回答机制是否真正发挥作用</w:t>
      </w:r>
    </w:p>
    <w:p>
      <w:pPr>
        <w:spacing w:line="360" w:lineRule="auto" w:after="120"/>
        <w:ind w:firstLine="420"/>
      </w:pPr>
      <w:r>
        <w:rPr>
          <w:rFonts w:ascii="宋体" w:hAnsi="宋体" w:eastAsia="宋体"/>
          <w:b w:val="0"/>
          <w:color w:val="000000"/>
          <w:sz w:val="21"/>
        </w:rPr>
        <w:t>完整方法中的系统化覆盖、相似历史方案、近可行档案和定向变异均应通过消融实验单独检验。消融不是简单地关闭模块后看一次成本，而是在相同场景、预算和随机种子下比较严格可行比例、首次严格可行时间和成功运行成本。如果某一模块只在特定类型的场景中有效，应将这种条件性结论写清楚，而不将其泛化为通用规律。</w:t>
      </w:r>
    </w:p>
    <w:p>
      <w:pPr>
        <w:pStyle w:val="Heading1"/>
        <w:keepNext/>
        <w:pageBreakBefore/>
        <w:spacing w:before="320" w:after="140"/>
      </w:pPr>
      <w:r>
        <w:rPr>
          <w:rFonts w:ascii="黑体" w:hAnsi="黑体" w:eastAsia="黑体"/>
          <w:b/>
          <w:color w:val="000000"/>
          <w:sz w:val="30"/>
        </w:rPr>
        <w:t>6 讨论与结论</w:t>
      </w:r>
    </w:p>
    <w:p>
      <w:pPr>
        <w:pStyle w:val="Heading2"/>
        <w:keepNext/>
        <w:spacing w:before="200" w:after="140"/>
      </w:pPr>
      <w:r>
        <w:rPr>
          <w:rFonts w:ascii="黑体" w:hAnsi="黑体" w:eastAsia="黑体"/>
          <w:b/>
          <w:color w:val="000000"/>
          <w:sz w:val="24"/>
        </w:rPr>
        <w:t>6.1 方法边界</w:t>
      </w:r>
    </w:p>
    <w:p>
      <w:pPr>
        <w:spacing w:line="360" w:lineRule="auto" w:after="120"/>
        <w:ind w:firstLine="420"/>
      </w:pPr>
      <w:r>
        <w:rPr>
          <w:rFonts w:ascii="宋体" w:hAnsi="宋体" w:eastAsia="宋体"/>
          <w:b w:val="0"/>
          <w:color w:val="000000"/>
          <w:sz w:val="21"/>
        </w:rPr>
        <w:t>本文方法保证候选始终来自允许的完整规格记录，并通过工程精算检查性能与约束；它并不保证在巨大离散搜索域中找到数学上的全局最优。实际效果还会受到目录完整性、工程计算模型、预算规模、历史方案质量和参数设置的影响。特别是初始化覆盖比例、历史方案使用比例、交叉率、变异率和定向探测范围，都应由后续真实实验标定，而不能仅凭一次运行固定。</w:t>
      </w:r>
    </w:p>
    <w:p>
      <w:pPr>
        <w:spacing w:line="360" w:lineRule="auto" w:after="120"/>
        <w:ind w:firstLine="420"/>
      </w:pPr>
      <w:r>
        <w:rPr>
          <w:rFonts w:ascii="宋体" w:hAnsi="宋体" w:eastAsia="宋体"/>
          <w:b w:val="0"/>
          <w:color w:val="000000"/>
          <w:sz w:val="21"/>
        </w:rPr>
        <w:t>在现阶段，工程精算一致性样本、严格预算停止机制、基线方法和多随机种子实验仍需补齐或重新建立。因此，本文的可靠贡献是明确研究问题、候选表示、算法流程和实验口径，而不是宣称现有实现已经证明某种算法更优。</w:t>
      </w:r>
    </w:p>
    <w:p>
      <w:pPr>
        <w:pStyle w:val="Heading2"/>
        <w:keepNext/>
        <w:spacing w:before="200" w:after="140"/>
      </w:pPr>
      <w:r>
        <w:rPr>
          <w:rFonts w:ascii="黑体" w:hAnsi="黑体" w:eastAsia="黑体"/>
          <w:b/>
          <w:color w:val="000000"/>
          <w:sz w:val="24"/>
        </w:rPr>
        <w:t>6.2 结论</w:t>
      </w:r>
    </w:p>
    <w:p>
      <w:pPr>
        <w:spacing w:line="360" w:lineRule="auto" w:after="120"/>
        <w:ind w:firstLine="420"/>
      </w:pPr>
      <w:r>
        <w:rPr>
          <w:rFonts w:ascii="宋体" w:hAnsi="宋体" w:eastAsia="宋体"/>
          <w:b w:val="0"/>
          <w:color w:val="000000"/>
          <w:sz w:val="21"/>
        </w:rPr>
        <w:t>本文针对三相油浸式变压器的离散方案优化，形成了以完整规格记录为基础的可追溯遗传优化研究框架和实验设计示例。该框架规定初始种群的覆盖、经验与探索来源，严格/近可行双档案，四类参数块交叉，以及工程诊断引导的变异；同时把工程精算器接口、成本口径、运行参数、比较预算和统计处理纳入可复核记录。它尚未证明任何算法效果。后续工作应以真实场景数据替换示例数值，完成全分支精算对照、预注册的公平基线与消融实验后，再对该框架中的各项机制作统计性评价。</w:t>
      </w:r>
    </w:p>
    <w:p>
      <w:pPr>
        <w:pStyle w:val="Heading1"/>
        <w:keepNext/>
        <w:pageBreakBefore/>
        <w:spacing w:before="320" w:after="140"/>
      </w:pPr>
      <w:r>
        <w:rPr>
          <w:rFonts w:ascii="黑体" w:hAnsi="黑体" w:eastAsia="黑体"/>
          <w:b/>
          <w:color w:val="000000"/>
          <w:sz w:val="30"/>
        </w:rPr>
        <w:t>参考文献</w:t>
      </w:r>
    </w:p>
    <w:p>
      <w:pPr>
        <w:spacing w:line="360" w:lineRule="auto" w:after="60"/>
      </w:pPr>
      <w:r>
        <w:rPr>
          <w:rFonts w:ascii="宋体" w:hAnsi="宋体" w:eastAsia="宋体"/>
          <w:b w:val="0"/>
          <w:color w:val="000000"/>
          <w:sz w:val="19"/>
        </w:rPr>
        <w:t>[1] Goldberg D E. Genetic Algorithms in Search, Optimization, and Machine Learning[M]. Addison-Wesley, 1989.</w:t>
      </w:r>
    </w:p>
    <w:p>
      <w:pPr>
        <w:spacing w:line="360" w:lineRule="auto" w:after="60"/>
      </w:pPr>
      <w:r>
        <w:rPr>
          <w:rFonts w:ascii="宋体" w:hAnsi="宋体" w:eastAsia="宋体"/>
          <w:b w:val="0"/>
          <w:color w:val="000000"/>
          <w:sz w:val="19"/>
        </w:rPr>
        <w:t>[2] Deb K. An efficient constraint handling method for genetic algorithms[J]. Computer Methods in Applied Mechanics and Engineering, 2000, 186(2-4): 311-338.</w:t>
      </w:r>
    </w:p>
    <w:p>
      <w:pPr>
        <w:spacing w:line="360" w:lineRule="auto" w:after="60"/>
      </w:pPr>
      <w:r>
        <w:rPr>
          <w:rFonts w:ascii="宋体" w:hAnsi="宋体" w:eastAsia="宋体"/>
          <w:b w:val="0"/>
          <w:color w:val="000000"/>
          <w:sz w:val="19"/>
        </w:rPr>
        <w:t>[3] Deb K, Pratap A, Agarwal S, Meyarivan T. A fast and elitist multiobjective genetic algorithm: NSGA-II[J]. IEEE Transactions on Evolutionary Computation, 2002, 6(2): 182-197.</w:t>
      </w:r>
    </w:p>
    <w:p>
      <w:pPr>
        <w:spacing w:line="360" w:lineRule="auto" w:after="60"/>
      </w:pPr>
      <w:r>
        <w:rPr>
          <w:rFonts w:ascii="宋体" w:hAnsi="宋体" w:eastAsia="宋体"/>
          <w:b w:val="0"/>
          <w:color w:val="000000"/>
          <w:sz w:val="19"/>
        </w:rPr>
        <w:t>[4] Alhan L, Yumuşak N. Design optimization of distribution transformers with nature-inspired metaheuristics: a comparative analysis[J]. Turkish Journal of Electrical Engineering and Computer Sciences, 2017, 25(6): 4673-4684.</w:t>
      </w:r>
    </w:p>
    <w:p>
      <w:pPr>
        <w:spacing w:line="360" w:lineRule="auto" w:after="60"/>
      </w:pPr>
      <w:r>
        <w:rPr>
          <w:rFonts w:ascii="宋体" w:hAnsi="宋体" w:eastAsia="宋体"/>
          <w:b w:val="0"/>
          <w:color w:val="000000"/>
          <w:sz w:val="19"/>
        </w:rPr>
        <w:t>[5] Reid D. Enhanced genetic operators for the resolution of discrete constrained optimization problems[J]. Computers &amp; Operations Research, 1997, 24(5): 399-411. doi:10.1016/S0305-0548(96)00054-8.</w:t>
      </w:r>
    </w:p>
    <w:p>
      <w:pPr>
        <w:spacing w:line="360" w:lineRule="auto" w:after="60"/>
      </w:pPr>
      <w:r>
        <w:rPr>
          <w:rFonts w:ascii="宋体" w:hAnsi="宋体" w:eastAsia="宋体"/>
          <w:b w:val="0"/>
          <w:color w:val="000000"/>
          <w:sz w:val="19"/>
        </w:rPr>
        <w:t>[6] Garcia R P, Lima B S L, Lemonge A C, Jacob B P. A rank-based constraint handling technique for engineering design optimization problems solved by genetic algorithms[J]. Computers &amp; Structures, 2017, 187: 77-87. doi:10.1016/j.compstruc.2017.03.023.</w:t>
      </w:r>
    </w:p>
    <w:p>
      <w:pPr>
        <w:pStyle w:val="Heading1"/>
        <w:keepNext/>
        <w:pageBreakBefore/>
        <w:spacing w:before="320" w:after="140"/>
      </w:pPr>
      <w:r>
        <w:rPr>
          <w:rFonts w:ascii="黑体" w:hAnsi="黑体" w:eastAsia="黑体"/>
          <w:b/>
          <w:color w:val="000000"/>
          <w:sz w:val="30"/>
        </w:rPr>
        <w:t>附录 建议的数据记录规范</w:t>
      </w:r>
    </w:p>
    <w:p>
      <w:pPr>
        <w:spacing w:line="360" w:lineRule="auto" w:after="120"/>
        <w:ind w:firstLine="420"/>
      </w:pPr>
      <w:r>
        <w:rPr>
          <w:rFonts w:ascii="宋体" w:hAnsi="宋体" w:eastAsia="宋体"/>
          <w:b w:val="0"/>
          <w:color w:val="000000"/>
          <w:sz w:val="21"/>
        </w:rPr>
        <w:t>本附录不是已经产出的实验数据，而是后续真实实验应遵循的记录规范。每次运行应固定保存设计要求快照、可选规格目录快照、计算器版本、随机种子、预算上限和软硬件环境；运行过程中保存候选编码、来源、父代、算子动作、工程精算结果、约束余量、档案状态和终止原因；运行结束后保存最终严格可行候选及其完整性能与成本分项。论文中的图表与统计结果应直接由这些原始记录生成，以保证可复算，而不依赖人工转录。</w:t>
      </w:r>
    </w:p>
    <w:p>
      <w:pPr>
        <w:spacing w:before="160" w:after="80"/>
      </w:pPr>
      <w:r>
        <w:rPr>
          <w:rFonts w:ascii="宋体" w:hAnsi="宋体" w:eastAsia="宋体"/>
          <w:b/>
          <w:color w:val="000000"/>
          <w:sz w:val="19"/>
        </w:rPr>
        <w:t>表 A1  建议的最小数据记录清单</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587"/>
            <w:vAlign w:val="center"/>
            <w:shd w:fill="1F4E79"/>
            <w:tcBorders>
              <w:top w:val="single" w:sz="6" w:color="D9D9D9"/>
              <w:left w:val="single" w:sz="6" w:color="D9D9D9"/>
              <w:bottom w:val="single" w:sz="6" w:color="D9D9D9"/>
              <w:right w:val="single" w:sz="6" w:color="D9D9D9"/>
            </w:tcBorders>
          </w:tcPr>
          <w:p>
            <w:pPr>
              <w:jc w:val="center"/>
            </w:pPr>
            <w:r>
              <w:rPr>
                <w:rFonts w:ascii="黑体" w:hAnsi="黑体" w:eastAsia="黑体"/>
                <w:b/>
                <w:color w:val="FFFFFF"/>
                <w:sz w:val="16"/>
              </w:rPr>
              <w:t>记录层级</w:t>
            </w:r>
          </w:p>
        </w:tc>
        <w:tc>
          <w:tcPr>
            <w:tcW w:type="dxa" w:w="4876"/>
            <w:vAlign w:val="center"/>
            <w:shd w:fill="1F4E79"/>
            <w:tcBorders>
              <w:top w:val="single" w:sz="6" w:color="D9D9D9"/>
              <w:left w:val="single" w:sz="6" w:color="D9D9D9"/>
              <w:bottom w:val="single" w:sz="6" w:color="D9D9D9"/>
              <w:right w:val="single" w:sz="6" w:color="D9D9D9"/>
            </w:tcBorders>
          </w:tcPr>
          <w:p>
            <w:pPr>
              <w:jc w:val="center"/>
            </w:pPr>
            <w:r>
              <w:rPr>
                <w:rFonts w:ascii="黑体" w:hAnsi="黑体" w:eastAsia="黑体"/>
                <w:b/>
                <w:color w:val="FFFFFF"/>
                <w:sz w:val="16"/>
              </w:rPr>
              <w:t>应保存内容</w:t>
            </w:r>
          </w:p>
        </w:tc>
        <w:tc>
          <w:tcPr>
            <w:tcW w:type="dxa" w:w="2665"/>
            <w:vAlign w:val="center"/>
            <w:shd w:fill="1F4E79"/>
            <w:tcBorders>
              <w:top w:val="single" w:sz="6" w:color="D9D9D9"/>
              <w:left w:val="single" w:sz="6" w:color="D9D9D9"/>
              <w:bottom w:val="single" w:sz="6" w:color="D9D9D9"/>
              <w:right w:val="single" w:sz="6" w:color="D9D9D9"/>
            </w:tcBorders>
          </w:tcPr>
          <w:p>
            <w:pPr>
              <w:jc w:val="center"/>
            </w:pPr>
            <w:r>
              <w:rPr>
                <w:rFonts w:ascii="黑体" w:hAnsi="黑体" w:eastAsia="黑体"/>
                <w:b/>
                <w:color w:val="FFFFFF"/>
                <w:sz w:val="16"/>
              </w:rPr>
              <w:t>主要用途</w:t>
            </w:r>
          </w:p>
        </w:tc>
      </w:tr>
      <w:tr>
        <w:tc>
          <w:tcPr>
            <w:tcW w:type="dxa" w:w="1587"/>
            <w:vAlign w:val="center"/>
            <w:tcBorders>
              <w:top w:val="single" w:sz="6" w:color="D9D9D9"/>
              <w:left w:val="single" w:sz="6" w:color="D9D9D9"/>
              <w:bottom w:val="single" w:sz="6" w:color="D9D9D9"/>
              <w:right w:val="single" w:sz="6" w:color="D9D9D9"/>
            </w:tcBorders>
          </w:tcPr>
          <w:p>
            <w:pPr>
              <w:jc w:val="left"/>
            </w:pPr>
            <w:r>
              <w:rPr>
                <w:rFonts w:ascii="宋体" w:hAnsi="宋体" w:eastAsia="宋体"/>
                <w:b w:val="0"/>
                <w:color w:val="000000"/>
                <w:sz w:val="16"/>
              </w:rPr>
              <w:t>场景级</w:t>
            </w:r>
          </w:p>
        </w:tc>
        <w:tc>
          <w:tcPr>
            <w:tcW w:type="dxa" w:w="4876"/>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设计要求、目录快照、计算器版本、预算和种子</w:t>
            </w:r>
          </w:p>
        </w:tc>
        <w:tc>
          <w:tcPr>
            <w:tcW w:type="dxa" w:w="2665"/>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界定实验边界和复现条件</w:t>
            </w:r>
          </w:p>
        </w:tc>
      </w:tr>
      <w:tr>
        <w:tc>
          <w:tcPr>
            <w:tcW w:type="dxa" w:w="1587"/>
            <w:vAlign w:val="center"/>
            <w:tcBorders>
              <w:top w:val="single" w:sz="6" w:color="D9D9D9"/>
              <w:left w:val="single" w:sz="6" w:color="D9D9D9"/>
              <w:bottom w:val="single" w:sz="6" w:color="D9D9D9"/>
              <w:right w:val="single" w:sz="6" w:color="D9D9D9"/>
            </w:tcBorders>
            <w:shd w:fill="F4F7FA"/>
          </w:tcPr>
          <w:p>
            <w:pPr>
              <w:jc w:val="left"/>
            </w:pPr>
            <w:r>
              <w:rPr>
                <w:rFonts w:ascii="宋体" w:hAnsi="宋体" w:eastAsia="宋体"/>
                <w:b w:val="0"/>
                <w:color w:val="000000"/>
                <w:sz w:val="16"/>
              </w:rPr>
              <w:t>候选级</w:t>
            </w:r>
          </w:p>
        </w:tc>
        <w:tc>
          <w:tcPr>
            <w:tcW w:type="dxa" w:w="4876"/>
            <w:vAlign w:val="center"/>
            <w:tcBorders>
              <w:top w:val="single" w:sz="6" w:color="D9D9D9"/>
              <w:left w:val="single" w:sz="6" w:color="D9D9D9"/>
              <w:bottom w:val="single" w:sz="6" w:color="D9D9D9"/>
              <w:right w:val="single" w:sz="6" w:color="D9D9D9"/>
            </w:tcBorders>
            <w:shd w:fill="F4F7FA"/>
          </w:tcPr>
          <w:p>
            <w:pPr>
              <w:jc w:val="center"/>
            </w:pPr>
            <w:r>
              <w:rPr>
                <w:rFonts w:ascii="宋体" w:hAnsi="宋体" w:eastAsia="宋体"/>
                <w:b w:val="0"/>
                <w:color w:val="000000"/>
                <w:sz w:val="16"/>
              </w:rPr>
              <w:t>完整规格记录、来源、算子、性能、成本、约束余量</w:t>
            </w:r>
          </w:p>
        </w:tc>
        <w:tc>
          <w:tcPr>
            <w:tcW w:type="dxa" w:w="2665"/>
            <w:vAlign w:val="center"/>
            <w:tcBorders>
              <w:top w:val="single" w:sz="6" w:color="D9D9D9"/>
              <w:left w:val="single" w:sz="6" w:color="D9D9D9"/>
              <w:bottom w:val="single" w:sz="6" w:color="D9D9D9"/>
              <w:right w:val="single" w:sz="6" w:color="D9D9D9"/>
            </w:tcBorders>
            <w:shd w:fill="F4F7FA"/>
          </w:tcPr>
          <w:p>
            <w:pPr>
              <w:jc w:val="center"/>
            </w:pPr>
            <w:r>
              <w:rPr>
                <w:rFonts w:ascii="宋体" w:hAnsi="宋体" w:eastAsia="宋体"/>
                <w:b w:val="0"/>
                <w:color w:val="000000"/>
                <w:sz w:val="16"/>
              </w:rPr>
              <w:t>解释候选如何产生及为何被保留或淘汰</w:t>
            </w:r>
          </w:p>
        </w:tc>
      </w:tr>
      <w:tr>
        <w:tc>
          <w:tcPr>
            <w:tcW w:type="dxa" w:w="1587"/>
            <w:vAlign w:val="center"/>
            <w:tcBorders>
              <w:top w:val="single" w:sz="6" w:color="D9D9D9"/>
              <w:left w:val="single" w:sz="6" w:color="D9D9D9"/>
              <w:bottom w:val="single" w:sz="6" w:color="D9D9D9"/>
              <w:right w:val="single" w:sz="6" w:color="D9D9D9"/>
            </w:tcBorders>
          </w:tcPr>
          <w:p>
            <w:pPr>
              <w:jc w:val="left"/>
            </w:pPr>
            <w:r>
              <w:rPr>
                <w:rFonts w:ascii="宋体" w:hAnsi="宋体" w:eastAsia="宋体"/>
                <w:b w:val="0"/>
                <w:color w:val="000000"/>
                <w:sz w:val="16"/>
              </w:rPr>
              <w:t>运行级</w:t>
            </w:r>
          </w:p>
        </w:tc>
        <w:tc>
          <w:tcPr>
            <w:tcW w:type="dxa" w:w="4876"/>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严格可行状态、首次可行时刻、缓存、耗时、终止原因</w:t>
            </w:r>
          </w:p>
        </w:tc>
        <w:tc>
          <w:tcPr>
            <w:tcW w:type="dxa" w:w="2665"/>
            <w:vAlign w:val="center"/>
            <w:tcBorders>
              <w:top w:val="single" w:sz="6" w:color="D9D9D9"/>
              <w:left w:val="single" w:sz="6" w:color="D9D9D9"/>
              <w:bottom w:val="single" w:sz="6" w:color="D9D9D9"/>
              <w:right w:val="single" w:sz="6" w:color="D9D9D9"/>
            </w:tcBorders>
          </w:tcPr>
          <w:p>
            <w:pPr>
              <w:jc w:val="center"/>
            </w:pPr>
            <w:r>
              <w:rPr>
                <w:rFonts w:ascii="宋体" w:hAnsi="宋体" w:eastAsia="宋体"/>
                <w:b w:val="0"/>
                <w:color w:val="000000"/>
                <w:sz w:val="16"/>
              </w:rPr>
              <w:t>比较成功率、效率和失败运行</w:t>
            </w:r>
          </w:p>
        </w:tc>
      </w:tr>
      <w:tr>
        <w:tc>
          <w:tcPr>
            <w:tcW w:type="dxa" w:w="1587"/>
            <w:vAlign w:val="center"/>
            <w:tcBorders>
              <w:top w:val="single" w:sz="6" w:color="D9D9D9"/>
              <w:left w:val="single" w:sz="6" w:color="D9D9D9"/>
              <w:bottom w:val="single" w:sz="6" w:color="D9D9D9"/>
              <w:right w:val="single" w:sz="6" w:color="D9D9D9"/>
            </w:tcBorders>
            <w:shd w:fill="F4F7FA"/>
          </w:tcPr>
          <w:p>
            <w:pPr>
              <w:jc w:val="left"/>
            </w:pPr>
            <w:r>
              <w:rPr>
                <w:rFonts w:ascii="宋体" w:hAnsi="宋体" w:eastAsia="宋体"/>
                <w:b w:val="0"/>
                <w:color w:val="000000"/>
                <w:sz w:val="16"/>
              </w:rPr>
              <w:t>结果级</w:t>
            </w:r>
          </w:p>
        </w:tc>
        <w:tc>
          <w:tcPr>
            <w:tcW w:type="dxa" w:w="4876"/>
            <w:vAlign w:val="center"/>
            <w:tcBorders>
              <w:top w:val="single" w:sz="6" w:color="D9D9D9"/>
              <w:left w:val="single" w:sz="6" w:color="D9D9D9"/>
              <w:bottom w:val="single" w:sz="6" w:color="D9D9D9"/>
              <w:right w:val="single" w:sz="6" w:color="D9D9D9"/>
            </w:tcBorders>
            <w:shd w:fill="F4F7FA"/>
          </w:tcPr>
          <w:p>
            <w:pPr>
              <w:jc w:val="center"/>
            </w:pPr>
            <w:r>
              <w:rPr>
                <w:rFonts w:ascii="宋体" w:hAnsi="宋体" w:eastAsia="宋体"/>
                <w:b w:val="0"/>
                <w:color w:val="000000"/>
                <w:sz w:val="16"/>
              </w:rPr>
              <w:t>最终候选、性能分项、成本分项、轨迹链</w:t>
            </w:r>
          </w:p>
        </w:tc>
        <w:tc>
          <w:tcPr>
            <w:tcW w:type="dxa" w:w="2665"/>
            <w:vAlign w:val="center"/>
            <w:tcBorders>
              <w:top w:val="single" w:sz="6" w:color="D9D9D9"/>
              <w:left w:val="single" w:sz="6" w:color="D9D9D9"/>
              <w:bottom w:val="single" w:sz="6" w:color="D9D9D9"/>
              <w:right w:val="single" w:sz="6" w:color="D9D9D9"/>
            </w:tcBorders>
            <w:shd w:fill="F4F7FA"/>
          </w:tcPr>
          <w:p>
            <w:pPr>
              <w:jc w:val="center"/>
            </w:pPr>
            <w:r>
              <w:rPr>
                <w:rFonts w:ascii="宋体" w:hAnsi="宋体" w:eastAsia="宋体"/>
                <w:b w:val="0"/>
                <w:color w:val="000000"/>
                <w:sz w:val="16"/>
              </w:rPr>
              <w:t>工程审核与论文图表复算</w:t>
            </w:r>
          </w:p>
        </w:tc>
      </w:tr>
    </w:tbl>
    <w:p>
      <w:pPr>
        <w:spacing w:after="40"/>
      </w:pPr>
    </w:p>
    <w:sectPr w:rsidR="00FC693F" w:rsidRPr="0006063C" w:rsidSect="00034616">
      <w:headerReference w:type="default" r:id="rId9"/>
      <w:footerReference w:type="default" r:id="rId10"/>
      <w:pgSz w:w="11906" w:h="16838"/>
      <w:pgMar w:top="1304"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17"/>
      </w:rPr>
      <w:t xml:space="preserve">第 </w:t>
    </w:r>
    <w:r>
      <w:fldChar w:fldCharType="begin"/>
      <w:instrText xml:space="preserve"> PAGE </w:instrText>
      <w:fldChar w:fldCharType="end"/>
    </w:r>
    <w:r>
      <w:rPr>
        <w:rFonts w:ascii="宋体" w:hAnsi="宋体" w:eastAsia="宋体"/>
        <w:b w:val="0"/>
        <w:color w:val="000000"/>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000000"/>
        <w:sz w:val="17"/>
      </w:rPr>
      <w:t>三相变压器离散方案优化方法与实验设计示例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