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hint="eastAsia">
          <w:rFonts w:hint="eastAsia" w:ascii="Times New Roman" w:hAnsi="Times New Roman" w:eastAsia="黑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hint="eastAsia">
          <w:rFonts w:hint="eastAsia" w:ascii="Times New Roman" w:hAnsi="Times New Roman" w:eastAsia="宋体" w:cs="Times New Roman"/>
          <w:sz w:val="18"/>
        </w:rPr>
        <w:t>作者姓名1，作者姓名2，作者姓名3*</w:t>
      </w:r>
      <w:bookmarkStart w:id="0" w:name="_GoBack"/>
      <w:bookmarkEnd w:id="0"/>
    </w:p>
    <w:p w14:paraId="08C2A775">
      <w:pPr>
        <w:spacing w:before="0" w:after="0" w:line="276" w:lineRule="auto"/>
        <w:ind w:firstLine="0"/>
        <w:jc w:val="both"/>
      </w:pPr>
      <w:r>
        <w:rPr w:hint="eastAsia">
          <w:rFonts w:hint="eastAsia" w:ascii="Times New Roman" w:hAnsi="Times New Roman" w:eastAsia="宋体" w:cs="Times New Roman"/>
          <w:color w:val="000000"/>
          <w:sz w:val="18"/>
          <w:szCs w:val="18"/>
        </w:rPr>
        <w:t>（1. 单位全称，城市 邮编；*通信作者：姓名，E-mail：xxx@xxx.com；基金项目：项目名称（编号：XXXXXX））</w:t>
      </w:r>
    </w:p>
    <w:p w14:paraId="68FE23A5">
      <w:pPr>
        <w:spacing w:before="80" w:after="60"/>
        <w:jc w:val="center"/>
      </w:pPr>
      <w:r>
        <w:rPr w:hint="eastAsia">
          <w:rFonts w:hint="eastAsia" w:ascii="Times New Roman" w:hAnsi="Times New Roman" w:eastAsia="黑体" w:cs="Times New Roman"/>
          <w:b/>
          <w:i w:val="0"/>
          <w:color w:val="000000"/>
          <w:sz w:val="18"/>
          <w:szCs w:val="18"/>
        </w:rPr>
        <w:t>摘  要</w:t>
      </w:r>
    </w:p>
    <w:p w14:paraId="2778E568">
      <w:pPr>
        <w:spacing w:before="0" w:after="0" w:line="276" w:lineRule="auto"/>
        <w:ind w:firstLine="0"/>
        <w:jc w:val="both"/>
      </w:pPr>
      <w:r>
        <w:rPr>
          <w:rFonts w:ascii="Times New Roman" w:hAnsi="Times New Roman" w:eastAsia="宋体" w:cs="Times New Roman"/>
          <w:sz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Hodges-Lehmann变化率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after="0" w:line="276" w:lineRule="auto" w:before="0"/>
        <w:ind w:firstLine="0"/>
        <w:jc w:val="left"/>
      </w:pPr>
      <w:r>
        <w:rPr w:hint="eastAsia">
          <w:rFonts w:ascii="Times New Roman" w:hAnsi="Times New Roman" w:eastAsia="宋体" w:cs="Times New Roman"/>
          <w:b/>
          <w:sz w:val="18"/>
        </w:rPr>
        <w:t>关键词：</w:t>
      </w:r>
      <w:r>
        <w:rPr w:hint="eastAsia">
          <w:rFonts w:ascii="Times New Roman" w:hAnsi="Times New Roman" w:eastAsia="宋体" w:cs="Times New Roman"/>
          <w:sz w:val="18"/>
        </w:rPr>
        <w:t>三相油浸式变压器；目录约束；约束优化；离散优化；遗传算法；双档案；工程精算一致性</w:t>
      </w:r>
    </w:p>
    <w:p w14:paraId="5489FE89">
      <w:pPr>
        <w:spacing w:before="60" w:after="60"/>
        <w:jc w:val="center"/>
      </w:pPr>
      <w:r>
        <w:rPr w:hint="eastAsia">
          <w:rFonts w:hint="eastAsia" w:ascii="Times New Roman" w:hAnsi="Times New Roman" w:eastAsia="宋体" w:cs="Times New Roman"/>
          <w:b/>
          <w:i w:val="0"/>
          <w:color w:val="000000"/>
          <w:sz w:val="24"/>
          <w:szCs w:val="24"/>
        </w:rPr>
        <w:t>Catalogue-Constrained Dual-Archive Genetic Optimization for Three-Phase Oil-Immersed Transformer Design</w:t>
      </w:r>
    </w:p>
    <w:p w14:paraId="5BEBD864">
      <w:pPr>
        <w:spacing w:after="0" w:line="276" w:lineRule="auto" w:before="0"/>
        <w:ind w:firstLine="0"/>
        <w:jc w:val="both"/>
      </w:pPr>
      <w:r>
        <w:rPr>
          <w:rFonts w:ascii="Times New Roman" w:hAnsi="Times New Roman" w:eastAsia="宋体" w:cs="Times New Roman"/>
          <w:sz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Hodges-Lehmann cost-change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after="0" w:line="276" w:lineRule="auto" w:before="0"/>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hint="eastAsia">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pageBreakBefore w:val="0"/>
        <w:spacing w:before="100" w:after="60" w:line="276" w:lineRule="auto"/>
        <w:ind w:firstLine="0"/>
        <w:jc w:val="left"/>
      </w:pPr>
      <w:r>
        <w:rPr w:hint="eastAsia">
          <w:rFonts w:hint="eastAsia" w:ascii="Times New Roman" w:hAnsi="Times New Roman" w:eastAsia="黑体" w:cs="Times New Roman"/>
          <w:b/>
          <w:i w:val="0"/>
          <w:color w:val="000000"/>
          <w:sz w:val="21"/>
          <w:szCs w:val="21"/>
        </w:rPr>
        <w:t>0 引言</w:t>
      </w:r>
    </w:p>
    <w:p w14:paraId="29D87E18">
      <w:pPr>
        <w:spacing w:before="0" w:after="0" w:line="276" w:lineRule="auto"/>
        <w:ind w:firstLine="360"/>
        <w:jc w:val="both"/>
      </w:pPr>
      <w:r>
        <w:rPr w:hint="eastAsia">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0" w:line="276" w:lineRule="auto"/>
        <w:ind w:firstLine="360"/>
        <w:jc w:val="both"/>
      </w:pPr>
      <w:r>
        <w:rPr>
          <w:rFonts w:ascii="Times New Roman" w:hAnsi="Times New Roman" w:eastAsia="宋体" w:cs="Times New Roman"/>
          <w:sz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0" w:line="276" w:lineRule="auto"/>
        <w:ind w:firstLine="360"/>
        <w:jc w:val="both"/>
      </w:pPr>
      <w:r>
        <w:rPr w:hint="eastAsia">
          <w:rFonts w:hint="eastAsia" w:ascii="Times New Roman" w:hAnsi="Times New Roman" w:eastAsia="宋体" w:cs="Times New Roman"/>
          <w:sz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epsilon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0" w:line="276" w:lineRule="auto"/>
        <w:ind w:firstLine="360"/>
        <w:jc w:val="both"/>
      </w:pPr>
      <w:r>
        <w:rPr>
          <w:rFonts w:ascii="Times New Roman" w:hAnsi="Times New Roman" w:eastAsia="宋体" w:cs="Times New Roman"/>
          <w:sz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保存可复核轨迹。</w:t>
      </w:r>
    </w:p>
    <w:p w14:paraId="5B169D49">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1 问题定义与相关工作</w:t>
      </w:r>
    </w:p>
    <w:p w14:paraId="64C635C0">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1.1 目录约束的离散设计问题</w:t>
      </w:r>
    </w:p>
    <w:p w14:paraId="5A3498EE">
      <w:pPr>
        <w:spacing w:before="40" w:after="40" w:line="240" w:lineRule="auto"/>
        <w:jc w:val="center"/>
      </w:pPr>
      <m:oMathPara>
        <m:oMath>
          <m:r>
            <m:rPr/>
            <m:t>r_m = (t_m, id_m, a_m)  (1)</m:t>
          </m:r>
        </m:oMath>
      </m:oMathPara>
    </w:p>
    <w:p w14:paraId="77326E5E">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2735E0E1">
      <w:pPr>
        <w:spacing w:before="0" w:after="0" w:line="276" w:lineRule="auto"/>
        <w:ind w:firstLine="360"/>
        <w:jc w:val="both"/>
      </w:pPr>
      <w:r>
        <w:rPr w:hint="eastAsia">
          <w:rFonts w:ascii="Times New Roman" w:hAnsi="Times New Roman" w:eastAsia="宋体" w:cs="Times New Roman"/>
          <w:sz w:val="18"/>
        </w:rPr>
        <w:t>任一可搜索模块</w:t>
      </w:r>
      <w:r>
        <w:rPr w:hint="default">
          <w:rFonts w:ascii="Cambria Math" w:hAnsi="Cambria Math" w:eastAsia="Cambria Math" w:cs="Cambria Math"/>
          <w:sz w:val="18"/>
        </w:rPr>
        <w:t>m</w:t>
      </w:r>
      <w:r>
        <w:rPr w:hint="eastAsia">
          <w:rFonts w:ascii="Times New Roman" w:hAnsi="Times New Roman" w:eastAsia="宋体" w:cs="Times New Roman"/>
          <w:sz w:val="18"/>
        </w:rPr>
        <w:t>的完整记录定义见式（1），其中</w:t>
      </w:r>
      <w:r>
        <w:rPr w:hint="default">
          <w:rFonts w:ascii="Cambria Math" w:hAnsi="Cambria Math" w:eastAsia="Cambria Math" w:cs="Cambria Math"/>
          <w:sz w:val="18"/>
        </w:rPr>
        <w:t>t_m</w:t>
      </w:r>
      <w:r>
        <w:rPr w:hint="eastAsia">
          <w:rFonts w:ascii="Times New Roman" w:hAnsi="Times New Roman" w:eastAsia="宋体" w:cs="Times New Roman"/>
          <w:sz w:val="18"/>
        </w:rPr>
        <w:t>为导线或结构类别，</w:t>
      </w:r>
      <w:r>
        <w:rPr w:hint="default">
          <w:rFonts w:ascii="Cambria Math" w:hAnsi="Cambria Math" w:eastAsia="Cambria Math" w:cs="Cambria Math"/>
          <w:sz w:val="18"/>
        </w:rPr>
        <w:t>id_m</w:t>
      </w:r>
      <w:r>
        <w:rPr w:hint="eastAsia">
          <w:rFonts w:ascii="Times New Roman" w:hAnsi="Times New Roman" w:eastAsia="宋体" w:cs="Times New Roman"/>
          <w:sz w:val="18"/>
        </w:rPr>
        <w:t>为目录记录标识，</w:t>
      </w:r>
      <w:r>
        <w:rPr w:hint="default">
          <w:rFonts w:ascii="Cambria Math" w:hAnsi="Cambria Math" w:eastAsia="Cambria Math" w:cs="Cambria Math"/>
          <w:sz w:val="18"/>
        </w:rPr>
        <w:t>a_m</w:t>
      </w:r>
      <w:r>
        <w:rPr w:hint="eastAsia">
          <w:rFonts w:ascii="Times New Roman" w:hAnsi="Times New Roman" w:eastAsia="宋体" w:cs="Times New Roman"/>
          <w:sz w:val="18"/>
        </w:rPr>
        <w:t>为随记录绑定的几何、材料、绝缘、价格和工艺属性。候选</w:t>
      </w:r>
      <w:r>
        <w:rPr w:hint="default">
          <w:rFonts w:ascii="Cambria Math" w:hAnsi="Cambria Math" w:eastAsia="Cambria Math" w:cs="Cambria Math"/>
          <w:sz w:val="18"/>
        </w:rPr>
        <w:t>x</w:t>
      </w:r>
      <w:r>
        <w:rPr w:hint="eastAsia">
          <w:rFonts w:ascii="Times New Roman" w:hAnsi="Times New Roman" w:eastAsia="宋体" w:cs="Times New Roman"/>
          <w:sz w:val="18"/>
        </w:rPr>
        <w:t>由铁芯、低压绕组、高压绕组、冷却记录及条件依赖变量构成，其中</w:t>
      </w:r>
      <w:r>
        <w:rPr w:hint="default">
          <w:rFonts w:ascii="Cambria Math" w:hAnsi="Cambria Math" w:eastAsia="Cambria Math" w:cs="Cambria Math"/>
          <w:sz w:val="18"/>
        </w:rPr>
        <w:t>r_c、r_l、r_h 和 r_k</w:t>
      </w:r>
      <w:r>
        <w:rPr w:hint="eastAsia">
          <w:rFonts w:ascii="Times New Roman" w:hAnsi="Times New Roman" w:eastAsia="宋体" w:cs="Times New Roman"/>
          <w:sz w:val="18"/>
        </w:rPr>
        <w:t>为四个完整记录，</w:t>
      </w:r>
      <w:r>
        <w:rPr w:hint="default">
          <w:rFonts w:ascii="Cambria Math" w:hAnsi="Cambria Math" w:eastAsia="Cambria Math" w:cs="Cambria Math"/>
          <w:sz w:val="18"/>
        </w:rPr>
        <w:t>z</w:t>
      </w:r>
      <w:r>
        <w:rPr w:hint="eastAsia">
          <w:rFonts w:ascii="Times New Roman" w:hAnsi="Times New Roman" w:eastAsia="宋体" w:cs="Times New Roman"/>
          <w:sz w:val="18"/>
        </w:rPr>
        <w:t>为由规则派生的变量向量。令</w:t>
      </w:r>
      <w:r>
        <w:rPr w:hint="default">
          <w:rFonts w:ascii="Cambria Math" w:hAnsi="Cambria Math" w:eastAsia="Cambria Math" w:cs="Cambria Math"/>
          <w:sz w:val="18"/>
        </w:rPr>
        <w:t>Φ(x,q,D)</w:t>
      </w:r>
      <w:r>
        <w:rPr w:hint="eastAsia">
          <w:rFonts w:ascii="Times New Roman" w:hAnsi="Times New Roman" w:eastAsia="宋体" w:cs="Times New Roman"/>
          <w:sz w:val="18"/>
        </w:rPr>
        <w:t>表示合法化过程；只有当完整记录可由目录</w:t>
      </w:r>
      <w:r>
        <w:rPr w:hint="default">
          <w:rFonts w:ascii="Cambria Math" w:hAnsi="Cambria Math" w:eastAsia="Cambria Math" w:cs="Cambria Math"/>
          <w:sz w:val="18"/>
        </w:rPr>
        <w:t>D</w:t>
      </w:r>
      <w:r>
        <w:rPr w:hint="eastAsia">
          <w:rFonts w:ascii="Times New Roman" w:hAnsi="Times New Roman" w:eastAsia="宋体" w:cs="Times New Roman"/>
          <w:sz w:val="18"/>
        </w:rPr>
        <w:t>唯一还原、页面范围</w:t>
      </w:r>
      <w:r>
        <w:rPr w:hint="default">
          <w:rFonts w:ascii="Cambria Math" w:hAnsi="Cambria Math" w:eastAsia="Cambria Math" w:cs="Cambria Math"/>
          <w:sz w:val="18"/>
        </w:rPr>
        <w:t>q</w:t>
      </w:r>
      <w:r>
        <w:rPr w:hint="eastAsia">
          <w:rFonts w:ascii="Times New Roman" w:hAnsi="Times New Roman" w:eastAsia="宋体" w:cs="Times New Roman"/>
          <w:sz w:val="18"/>
        </w:rPr>
        <w:t>满足且</w:t>
      </w:r>
      <w:r>
        <w:rPr w:hint="default">
          <w:rFonts w:ascii="Cambria Math" w:hAnsi="Cambria Math" w:eastAsia="Cambria Math" w:cs="Cambria Math"/>
          <w:sz w:val="18"/>
        </w:rPr>
        <w:t>z=Φ(x,q,D)</w:t>
      </w:r>
      <w:r>
        <w:rPr w:hint="eastAsia">
          <w:rFonts w:ascii="Times New Roman" w:hAnsi="Times New Roman" w:eastAsia="宋体" w:cs="Times New Roman"/>
          <w:sz w:val="18"/>
        </w:rPr>
        <w:t>时，候选才属于合法域</w:t>
      </w:r>
      <w:r>
        <w:rPr w:hint="default">
          <w:rFonts w:ascii="Cambria Math" w:hAnsi="Cambria Math" w:eastAsia="Cambria Math" w:cs="Cambria Math"/>
          <w:sz w:val="18"/>
        </w:rPr>
        <w:t>Ω(q,D)</w:t>
      </w:r>
      <w:r>
        <w:rPr w:hint="eastAsia">
          <w:rFonts w:ascii="Times New Roman" w:hAnsi="Times New Roman" w:eastAsia="宋体" w:cs="Times New Roman"/>
          <w:sz w:val="18"/>
        </w:rPr>
        <w:t>。工程精算器</w:t>
      </w:r>
      <w:r>
        <w:rPr w:hint="default">
          <w:rFonts w:ascii="Cambria Math" w:hAnsi="Cambria Math" w:eastAsia="Cambria Math" w:cs="Cambria Math"/>
          <w:sz w:val="18"/>
        </w:rPr>
        <w:t>E(x;q,p)</w:t>
      </w:r>
      <w:r>
        <w:rPr w:hint="eastAsia">
          <w:rFonts w:ascii="Times New Roman" w:hAnsi="Times New Roman" w:eastAsia="宋体" w:cs="Times New Roman"/>
          <w:sz w:val="18"/>
        </w:rPr>
        <w:t>在给定价格与计算参数快照</w:t>
      </w:r>
      <w:r>
        <w:rPr w:hint="default">
          <w:rFonts w:ascii="Cambria Math" w:hAnsi="Cambria Math" w:eastAsia="Cambria Math" w:cs="Cambria Math"/>
          <w:sz w:val="18"/>
        </w:rPr>
        <w:t>p</w:t>
      </w:r>
      <w:r>
        <w:rPr w:hint="eastAsia">
          <w:rFonts w:ascii="Times New Roman" w:hAnsi="Times New Roman" w:eastAsia="宋体" w:cs="Times New Roman"/>
          <w:sz w:val="18"/>
        </w:rPr>
        <w:t>下返回性能、温升、重量和成本，完整优化问题由式（3）给出。</w:t>
      </w:r>
    </w:p>
    <w:p w14:paraId="49E5EB9E">
      <w:pPr>
        <w:spacing w:before="40" w:after="40" w:line="240" w:lineRule="auto"/>
        <w:jc w:val="center"/>
      </w:pPr>
      <m:oMathPara>
        <m:oMath>
          <m:limLow>
            <m:limLowPr/>
            <m:e>
              <m:r>
                <m:rPr>
                  <m:nor/>
                  <m:sty m:val="p"/>
                </m:rPr>
                <w:rPr>
                  <w:b w:val="0"/>
                  <w:i w:val="0"/>
                </w:rPr>
                <m:t>min</m:t>
              </m:r>
            </m:e>
            <m:lim>
              <m:r>
                <m:rPr/>
                <m:t>x ∈ Ω(q,D)</m:t>
              </m:r>
            </m:lim>
          </m:limLow>
          <m:r>
            <m:rPr/>
            <m:t xml:space="preserve"> C(x;p), </m:t>
          </m:r>
          <m:sSub>
            <m:sSubPr/>
            <m:e>
              <m:r>
                <m:rPr/>
                <m:t xml:space="preserve"> g</m:t>
              </m:r>
            </m:e>
            <m:sub>
              <m:r>
                <m:rPr/>
                <m:t>i</m:t>
              </m:r>
            </m:sub>
          </m:sSub>
          <m:r>
            <m:rPr/>
            <m:t>(E(x;q,p)) ≤ 0 (i ∈</m:t>
          </m:r>
          <m:sSub>
            <m:sSubPr/>
            <m:e>
              <m:r>
                <m:rPr/>
                <m:t xml:space="preserve"> I</m:t>
              </m:r>
            </m:e>
            <m:sub>
              <m:r>
                <m:rPr/>
                <m:t>g</m:t>
              </m:r>
            </m:sub>
          </m:sSub>
          <m:r>
            <m:rPr/>
            <m:t>(q)), </m:t>
          </m:r>
          <m:sSub>
            <m:sSubPr/>
            <m:e>
              <m:r>
                <m:rPr/>
                <m:t xml:space="preserve"> h</m:t>
              </m:r>
            </m:e>
            <m:sub>
              <m:r>
                <m:rPr/>
                <m:t>j</m:t>
              </m:r>
            </m:sub>
          </m:sSub>
          <m:r>
            <m:rPr/>
            <m:t>(E(x;q,p))=0 (j ∈</m:t>
          </m:r>
          <m:sSub>
            <m:sSubPr/>
            <m:e>
              <m:r>
                <m:rPr/>
                <m:t xml:space="preserve"> I</m:t>
              </m:r>
            </m:e>
            <m:sub>
              <m:r>
                <m:rPr/>
                <m:t>h</m:t>
              </m:r>
            </m:sub>
          </m:sSub>
          <m:r>
            <m:rPr/>
            <m:t>(q))  (3)</m:t>
          </m:r>
        </m:oMath>
      </m:oMathPara>
    </w:p>
    <w:p w14:paraId="2D818F74">
      <w:pPr>
        <w:spacing w:after="0" w:line="276" w:lineRule="auto" w:before="0"/>
        <w:ind w:firstLine="360"/>
        <w:jc w:val="both"/>
      </w:pPr>
      <w:r>
        <w:rPr w:hint="eastAsia">
          <w:rFonts w:hint="eastAsia" w:ascii="Times New Roman" w:hAnsi="Times New Roman" w:eastAsia="宋体" w:cs="Times New Roman"/>
          <w:color w:val="000000"/>
          <w:sz w:val="18"/>
          <w:szCs w:val="18"/>
        </w:rPr>
        <w:t>当前价格快照p下的直接制造成本定义为：</w:t>
      </w:r>
    </w:p>
    <w:p w14:paraId="1FD25FE8">
      <w:pPr>
        <w:jc w:val="center"/>
      </w:pPr>
      <m:oMathPara>
        <m:oMath>
          <m:sSub>
            <m:sSubPr/>
            <m:e>
              <m:r>
                <m:rPr/>
                <m:t>C(x;p)=c</m:t>
              </m:r>
            </m:e>
            <m:sub>
              <m:r>
                <m:rPr/>
                <m:t>Fe</m:t>
              </m:r>
            </m:sub>
          </m:sSub>
          <m:sSub>
            <m:sSubPr/>
            <m:e>
              <m:r>
                <m:rPr/>
                <m:t>W</m:t>
              </m:r>
            </m:e>
            <m:sub>
              <m:r>
                <m:rPr/>
                <m:t>Fe</m:t>
              </m:r>
            </m:sub>
          </m:sSub>
          <m:sSub>
            <m:sSubPr/>
            <m:e>
              <m:r>
                <m:rPr/>
                <m:t>+c</m:t>
              </m:r>
            </m:e>
            <m:sub>
              <m:r>
                <m:rPr/>
                <m:t>lv</m:t>
              </m:r>
            </m:sub>
          </m:sSub>
          <m:sSub>
            <m:sSubPr/>
            <m:e>
              <m:r>
                <m:rPr/>
                <m:t>W</m:t>
              </m:r>
            </m:e>
            <m:sub>
              <m:r>
                <m:rPr/>
                <m:t>lv</m:t>
              </m:r>
            </m:sub>
          </m:sSub>
          <m:sSub>
            <m:sSubPr/>
            <m:e>
              <m:r>
                <m:rPr/>
                <m:t>+c</m:t>
              </m:r>
            </m:e>
            <m:sub>
              <m:r>
                <m:rPr/>
                <m:t>hv</m:t>
              </m:r>
            </m:sub>
          </m:sSub>
          <m:sSub>
            <m:sSubPr/>
            <m:e>
              <m:r>
                <m:rPr/>
                <m:t>W</m:t>
              </m:r>
            </m:e>
            <m:sub>
              <m:r>
                <m:rPr/>
                <m:t>hv</m:t>
              </m:r>
            </m:sub>
          </m:sSub>
          <m:sSub>
            <m:sSubPr/>
            <m:e>
              <m:r>
                <m:rPr/>
                <m:t>+c</m:t>
              </m:r>
            </m:e>
            <m:sub>
              <m:r>
                <m:rPr/>
                <m:t>oil</m:t>
              </m:r>
            </m:sub>
          </m:sSub>
          <m:sSub>
            <m:sSubPr/>
            <m:e>
              <m:r>
                <m:rPr/>
                <m:t>W</m:t>
              </m:r>
            </m:e>
            <m:sub>
              <m:r>
                <m:rPr/>
                <m:t>oil</m:t>
              </m:r>
            </m:sub>
          </m:sSub>
          <m:sSub>
            <m:sSubPr/>
            <m:e>
              <m:r>
                <m:rPr/>
                <m:t>+c</m:t>
              </m:r>
            </m:e>
            <m:sub>
              <m:r>
                <m:rPr/>
                <m:t>aux</m:t>
              </m:r>
            </m:sub>
          </m:sSub>
          <m:sSub>
            <m:sSubPr/>
            <m:e>
              <m:r>
                <m:rPr/>
                <m:t>W</m:t>
              </m:r>
            </m:e>
            <m:sub>
              <m:r>
                <m:rPr/>
                <m:t>aux</m:t>
              </m:r>
            </m:sub>
          </m:sSub>
          <m:r>
            <m:rPr/>
            <m:t>  (4)</m:t>
          </m:r>
        </m:oMath>
      </m:oMathPara>
    </w:p>
    <w:p w14:paraId="7B2A8C45">
      <w:pPr>
        <w:spacing w:after="0" w:line="276" w:lineRule="auto" w:before="0"/>
        <w:ind w:firstLine="360"/>
        <w:jc w:val="both"/>
      </w:pPr>
      <w:r>
        <w:rPr w:hint="eastAsia">
          <w:rFonts w:hint="eastAsia" w:ascii="Times New Roman" w:hAnsi="Times New Roman" w:eastAsia="宋体" w:cs="Times New Roman"/>
          <w:color w:val="000000"/>
          <w:sz w:val="18"/>
          <w:szCs w:val="18"/>
        </w:rPr>
        <w:t>式中，W_Fe、W_lv、W_hv、W_oil和W_aux分别表示硅钢、低压导线、高压导线、绝缘油以及油箱/冷却与附件重量；c_Fe、c_lv、c_hv、c_oil和c_aux为冻结价格快照p中的对应单位价格。历史方案的价格或合规等级不进入当前目标函数。</w:t>
      </w:r>
    </w:p>
    <w:p w14:paraId="09D37F7E">
      <w:pPr>
        <w:keepNext/>
        <w:spacing w:before="40" w:after="20"/>
        <w:jc w:val="center"/>
      </w:pPr>
      <w:r>
        <w:rPr>
          <w:rFonts w:hint="eastAsia" w:ascii="Times New Roman" w:hAnsi="Times New Roman" w:eastAsia="宋体" w:cs="Times New Roman"/>
          <w:color w:val="000000"/>
        </w:rPr>
        <w:drawing>
          <wp:inline distT="0" distB="0" distL="114300" distR="114300">
            <wp:extent cx="2834640" cy="1158875"/>
            <wp:effectExtent l="0" t="0" r="6350" b="10795"/>
            <wp:docPr id="1" name="Picture 1" descr="目录约束下的工程优化闭环：页面边界、目录记录、候选构造、工程精算、约束诊断、双档案搜索与输出复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目录约束下的工程优化闭环：页面边界、目录记录、候选构造、工程精算、约束诊断、双档案搜索与输出复核。"/>
                    <pic:cNvPicPr>
                      <a:picLocks noChangeAspect="1"/>
                    </pic:cNvPicPr>
                  </pic:nvPicPr>
                  <pic:blipFill>
                    <a:blip r:embed="rId10"/>
                    <a:stretch>
                      <a:fillRect/>
                    </a:stretch>
                  </pic:blipFill>
                  <pic:spPr>
                    <a:xfrm>
                      <a:off x="0" y="0"/>
                      <a:ext cx="2834640" cy="1159049"/>
                    </a:xfrm>
                    <a:prstGeom prst="rect">
                      <a:avLst/>
                    </a:prstGeom>
                  </pic:spPr>
                </pic:pic>
              </a:graphicData>
            </a:graphic>
          </wp:inline>
        </w:drawing>
      </w:r>
    </w:p>
    <w:p w14:paraId="662EB95C">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图1 目录约束下的工程优化闭环（页面边界与真实目录共同构造候选；严格可行性须经工程精算与约束诊断确认）</w:t>
      </w:r>
    </w:p>
    <w:p w14:paraId="4556DFA1">
      <w:pPr>
        <w:pStyle w:val="5"/>
        <w:keepNext/>
        <w:spacing w:before="60" w:after="20" w:line="276" w:lineRule="auto"/>
        <w:ind w:firstLine="0"/>
        <w:jc w:val="left"/>
      </w:pPr>
      <w:r>
        <w:rPr w:hint="eastAsia">
          <w:rFonts w:hint="eastAsia" w:ascii="Times New Roman" w:hAnsi="Times New Roman" w:eastAsia="黑体" w:cs="Times New Roman"/>
          <w:b/>
          <w:i w:val="0"/>
          <w:color w:val="000000"/>
          <w:sz w:val="18"/>
          <w:szCs w:val="19"/>
        </w:rPr>
        <w:t>1.1.1 符号与约束说明</w:t>
      </w:r>
    </w:p>
    <w:p w14:paraId="5499C593">
      <w:pPr>
        <w:keepNext/>
        <w:keepLines/>
        <w:spacing w:before="40" w:after="20" w:line="240" w:lineRule="auto"/>
        <w:ind w:firstLine="0"/>
        <w:jc w:val="center"/>
      </w:pPr>
      <w:r>
        <w:rPr w:hint="eastAsia">
          <w:rFonts w:hint="eastAsia" w:ascii="Times New Roman" w:hAnsi="Times New Roman" w:eastAsia="宋体" w:cs="Times New Roman"/>
          <w:b/>
          <w:i w:val="0"/>
          <w:color w:val="000000"/>
          <w:sz w:val="18"/>
          <w:szCs w:val="18"/>
        </w:rPr>
        <w:t>表1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spacing w:before="0" w:after="0" w:line="240" w:lineRule="auto"/>
              <w:ind w:firstLine="0"/>
            </w:pPr>
            <w:r>
              <w:rPr w:hint="eastAsia">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spacing w:before="0" w:after="0" w:line="240" w:lineRule="auto"/>
              <w:ind w:firstLine="0"/>
            </w:pPr>
            <w:r>
              <w:rPr w:hint="eastAsia">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spacing w:before="0" w:after="0" w:line="240" w:lineRule="auto"/>
              <w:ind w:firstLine="0"/>
            </w:pPr>
            <w:r>
              <w:rPr w:hint="eastAsia">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spacing w:before="0" w:after="0" w:line="240" w:lineRule="auto"/>
              <w:ind w:firstLine="0"/>
            </w:pPr>
            <w:r>
              <w:rPr w:hint="eastAsia">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spacing w:before="0" w:after="0" w:line="240" w:lineRule="auto"/>
              <w:ind w:firstLine="0"/>
            </w:pPr>
            <w:r>
              <w:rPr w:hint="eastAsia">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spacing w:before="0" w:after="0" w:line="240" w:lineRule="auto"/>
              <w:ind w:firstLine="0"/>
            </w:pPr>
            <w:r>
              <w:rPr w:hint="eastAsia">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spacing w:before="0" w:after="0" w:line="240" w:lineRule="auto"/>
              <w:ind w:firstLine="0"/>
              <w:jc w:val="center"/>
            </w:pPr>
            <w:r>
              <w:rPr w:hint="default">
                <w:rFonts w:ascii="Cambria Math" w:hAnsi="Cambria Math" w:eastAsia="Cambria Math" w:cs="Cambria Math"/>
                <w:sz w:val="15"/>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spacing w:before="0" w:after="0" w:line="240" w:lineRule="auto"/>
              <w:ind w:firstLine="0"/>
              <w:jc w:val="left"/>
            </w:pPr>
            <w:r>
              <w:rPr w:hint="eastAsia">
                <w:rFonts w:ascii="Times New Roman" w:hAnsi="Times New Roman" w:eastAsia="宋体" w:cs="Times New Roman"/>
                <w:sz w:val="15"/>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spacing w:before="0" w:after="0" w:line="240" w:lineRule="auto"/>
              <w:ind w:firstLine="0"/>
              <w:jc w:val="center"/>
            </w:pPr>
            <w:r>
              <w:rPr w:hint="default">
                <w:rFonts w:ascii="Cambria Math" w:hAnsi="Cambria Math" w:eastAsia="Cambria Math" w:cs="Cambria Math"/>
                <w:sz w:val="15"/>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spacing w:before="0" w:after="0" w:line="240" w:lineRule="auto"/>
              <w:ind w:firstLine="0"/>
              <w:jc w:val="left"/>
            </w:pPr>
            <w:r>
              <w:rPr w:hint="eastAsia">
                <w:rFonts w:ascii="Times New Roman" w:hAnsi="Times New Roman" w:eastAsia="宋体" w:cs="Times New Roman"/>
                <w:sz w:val="15"/>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spacing w:before="0" w:after="0" w:line="240" w:lineRule="auto"/>
              <w:ind w:firstLine="0"/>
              <w:jc w:val="center"/>
            </w:pPr>
            <w:r>
              <w:rPr w:hint="default">
                <w:rFonts w:ascii="Cambria Math" w:hAnsi="Cambria Math" w:eastAsia="Cambria Math" w:cs="Cambria Math"/>
                <w:sz w:val="15"/>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spacing w:before="0" w:after="0" w:line="240" w:lineRule="auto"/>
              <w:ind w:firstLine="0"/>
              <w:jc w:val="left"/>
            </w:pPr>
            <w:r>
              <w:rPr w:hint="eastAsia">
                <w:rFonts w:ascii="Times New Roman" w:hAnsi="Times New Roman" w:eastAsia="宋体" w:cs="Times New Roman"/>
                <w:sz w:val="15"/>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spacing w:before="0" w:after="0" w:line="240" w:lineRule="auto"/>
              <w:ind w:firstLine="0"/>
              <w:jc w:val="center"/>
            </w:pPr>
            <w:r>
              <w:rPr w:hint="default">
                <w:rFonts w:ascii="Cambria Math" w:hAnsi="Cambria Math" w:eastAsia="Cambria Math" w:cs="Cambria Math"/>
                <w:sz w:val="15"/>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spacing w:before="0" w:after="0" w:line="240" w:lineRule="auto"/>
              <w:ind w:firstLine="0"/>
              <w:jc w:val="left"/>
            </w:pPr>
            <w:r>
              <w:rPr w:hint="eastAsia">
                <w:rFonts w:ascii="Times New Roman" w:hAnsi="Times New Roman" w:eastAsia="宋体" w:cs="Times New Roman"/>
                <w:sz w:val="15"/>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spacing w:before="0" w:after="0" w:line="240" w:lineRule="auto"/>
              <w:ind w:firstLine="0"/>
              <w:jc w:val="center"/>
            </w:pPr>
            <w:r>
              <w:rPr w:hint="default">
                <w:rFonts w:ascii="Cambria Math" w:hAnsi="Cambria Math" w:eastAsia="Cambria Math" w:cs="Cambria Math"/>
                <w:sz w:val="15"/>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spacing w:before="0" w:after="0" w:line="240" w:lineRule="auto"/>
              <w:ind w:firstLine="0"/>
              <w:jc w:val="left"/>
            </w:pPr>
            <w:r>
              <w:rPr w:hint="eastAsia">
                <w:rFonts w:ascii="Times New Roman" w:hAnsi="Times New Roman" w:eastAsia="宋体" w:cs="Times New Roman"/>
                <w:sz w:val="15"/>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spacing w:before="0" w:after="0" w:line="240" w:lineRule="auto"/>
              <w:ind w:firstLine="0"/>
              <w:jc w:val="center"/>
            </w:pPr>
            <w:r>
              <w:rPr w:hint="default">
                <w:rFonts w:ascii="Cambria Math" w:hAnsi="Cambria Math" w:eastAsia="Cambria Math" w:cs="Cambria Math"/>
                <w:sz w:val="15"/>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spacing w:before="0" w:after="0" w:line="240" w:lineRule="auto"/>
              <w:ind w:firstLine="0"/>
              <w:jc w:val="left"/>
            </w:pPr>
            <w:r>
              <w:rPr w:hint="eastAsia">
                <w:rFonts w:ascii="Times New Roman" w:hAnsi="Times New Roman" w:eastAsia="宋体" w:cs="Times New Roman"/>
                <w:sz w:val="15"/>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spacing w:before="0" w:after="0" w:line="240" w:lineRule="auto"/>
              <w:ind w:firstLine="0"/>
              <w:jc w:val="center"/>
            </w:pPr>
            <w:r>
              <w:rPr w:hint="default">
                <w:rFonts w:ascii="Cambria Math" w:hAnsi="Cambria Math" w:eastAsia="Cambria Math" w:cs="Cambria Math"/>
                <w:sz w:val="15"/>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spacing w:before="0" w:after="0" w:line="240" w:lineRule="auto"/>
              <w:ind w:firstLine="0"/>
              <w:jc w:val="left"/>
            </w:pPr>
            <w:r>
              <w:rPr w:hint="eastAsia">
                <w:rFonts w:ascii="Times New Roman" w:hAnsi="Times New Roman" w:eastAsia="宋体" w:cs="Times New Roman"/>
                <w:sz w:val="15"/>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spacing w:before="0" w:after="0" w:line="240" w:lineRule="auto"/>
              <w:ind w:firstLine="0"/>
              <w:jc w:val="center"/>
            </w:pPr>
            <m:oMath>
              <m:sSub>
                <m:e>
                  <m:r>
                    <m:rPr>
                      <w:rFonts w:ascii="Cambria Math" w:hAnsi="Cambria Math"/>
                    </m:rPr>
                    <m:t>g</m:t>
                  </m:r>
                </m:e>
                <m:sub>
                  <m:r>
                    <m:rPr>
                      <w:rFonts w:ascii="Cambria Math" w:hAnsi="Cambria Math"/>
                    </m:rPr>
                    <m:t>i</m:t>
                  </m:r>
                </m:sub>
              </m:sSub>
            </m:oMath>
            <w:r>
              <w:rPr w:hint="eastAsia">
                <w:rFonts w:ascii="Times New Roman" w:hAnsi="Times New Roman" w:eastAsia="宋体" w:cs="Times New Roman"/>
                <w:sz w:val="15"/>
              </w:rPr>
              <w:t xml:space="preserve"> / </w:t>
            </w:r>
            <m:oMath>
              <m:sSub>
                <m:e>
                  <m:r>
                    <m:rPr>
                      <w:rFonts w:ascii="Cambria Math" w:hAnsi="Cambria Math"/>
                    </m:rPr>
                    <m:t>h</m:t>
                  </m:r>
                </m:e>
                <m:sub>
                  <m:r>
                    <m:rPr>
                      <w:rFonts w:ascii="Cambria Math" w:hAnsi="Cambria Math"/>
                    </m: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spacing w:before="0" w:after="0" w:line="240" w:lineRule="auto"/>
              <w:ind w:firstLine="0"/>
              <w:jc w:val="left"/>
            </w:pPr>
            <w:r>
              <w:rPr w:hint="eastAsia">
                <w:rFonts w:ascii="Times New Roman" w:hAnsi="Times New Roman" w:eastAsia="宋体" w:cs="Times New Roman"/>
                <w:sz w:val="15"/>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spacing w:before="0" w:after="0" w:line="240" w:lineRule="auto"/>
              <w:ind w:firstLine="0"/>
              <w:jc w:val="center"/>
            </w:pPr>
            <w:r>
              <w:rPr w:hint="default">
                <w:rFonts w:ascii="Cambria Math" w:hAnsi="Cambria Math" w:eastAsia="Cambria Math" w:cs="Cambria Math"/>
                <w:sz w:val="15"/>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spacing w:before="0" w:after="0" w:line="240" w:lineRule="auto"/>
              <w:ind w:firstLine="0"/>
              <w:jc w:val="left"/>
            </w:pPr>
            <w:r>
              <w:rPr w:hint="eastAsia">
                <w:rFonts w:ascii="Times New Roman" w:hAnsi="Times New Roman" w:eastAsia="宋体" w:cs="Times New Roman"/>
                <w:sz w:val="15"/>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spacing w:before="0" w:after="0" w:line="240" w:lineRule="auto"/>
              <w:ind w:firstLine="0"/>
              <w:jc w:val="center"/>
            </w:pPr>
            <m:oMath>
              <m:sSub>
                <m:e>
                  <m:r>
                    <m:rPr>
                      <w:rFonts w:ascii="Cambria Math" w:hAnsi="Cambria Math"/>
                    </m:rPr>
                    <m:t>d̄</m:t>
                  </m:r>
                </m:e>
                <m:sub>
                  <m:r>
                    <m:rPr>
                      <w:rFonts w:ascii="Cambria Math" w:hAnsi="Cambria Math"/>
                    </m:rPr>
                    <m:t>H</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spacing w:before="0" w:after="0" w:line="240" w:lineRule="auto"/>
              <w:ind w:firstLine="0"/>
              <w:jc w:val="left"/>
            </w:pPr>
            <w:r>
              <w:rPr w:hint="eastAsia">
                <w:rFonts w:ascii="Times New Roman" w:hAnsi="Times New Roman" w:eastAsia="宋体" w:cs="Times New Roman"/>
                <w:sz w:val="15"/>
              </w:rPr>
              <w:t>四模块平均汉明距离（0—4）</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spacing w:before="0" w:after="0" w:line="240" w:lineRule="auto"/>
              <w:ind w:firstLine="0"/>
              <w:jc w:val="center"/>
            </w:pPr>
            <m:oMath>
              <m:sSub>
                <m:e>
                  <m:r>
                    <m:rPr>
                      <w:rFonts w:ascii="Cambria Math" w:hAnsi="Cambria Math"/>
                    </m:rPr>
                    <m:t>H</m:t>
                  </m:r>
                </m:e>
                <m:sub>
                  <m:r>
                    <m:rPr>
                      <w:rFonts w:ascii="Cambria Math" w:hAnsi="Cambria Math"/>
                    </m:rPr>
                    <m:t>m</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spacing w:before="0" w:after="0" w:line="240" w:lineRule="auto"/>
              <w:ind w:firstLine="0"/>
              <w:jc w:val="left"/>
            </w:pPr>
            <w:r>
              <w:rPr w:hint="eastAsia">
                <w:rFonts w:ascii="Times New Roman" w:hAnsi="Times New Roman" w:eastAsia="宋体" w:cs="Times New Roman"/>
                <w:sz w:val="15"/>
              </w:rPr>
              <w:t>模块取值熵</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spacing w:before="0" w:after="0" w:line="240" w:lineRule="auto"/>
              <w:ind w:firstLine="0"/>
              <w:jc w:val="center"/>
            </w:pPr>
            <m:oMath>
              <m:r>
                <m:rPr>
                  <w:rFonts w:ascii="Cambria Math" w:hAnsi="Cambria Math"/>
                </m:rPr>
                <m:t>B′</m:t>
              </m: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spacing w:before="0" w:after="0" w:line="240" w:lineRule="auto"/>
              <w:ind w:firstLine="0"/>
              <w:jc w:val="left"/>
            </w:pPr>
            <w:r>
              <w:rPr w:hint="eastAsia">
                <w:rFonts w:ascii="Times New Roman" w:hAnsi="Times New Roman" w:eastAsia="宋体" w:cs="Times New Roman"/>
                <w:sz w:val="15"/>
              </w:rPr>
              <w:t>第0代后真实精算调用总预算</w:t>
            </w:r>
          </w:p>
        </w:tc>
      </w:tr>
    </w:tbl>
    <w:p w14:paraId="0FDC9A1C">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1.2 完整记录与条件依赖</w:t>
      </w:r>
    </w:p>
    <w:p w14:paraId="2E7D11C0">
      <w:pPr>
        <w:spacing w:before="0" w:after="0" w:line="276" w:lineRule="auto"/>
        <w:ind w:firstLine="360"/>
        <w:jc w:val="both"/>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r>
        <w:rPr>
          <w:rFonts w:hint="eastAsia" w:ascii="Times New Roman" w:hAnsi="Times New Roman" w:eastAsia="宋体" w:cs="Times New Roman"/>
          <w:color w:val="000000"/>
        </w:rPr>
        <w:drawing>
          <wp:inline distT="0" distB="0" distL="114300" distR="114300">
            <wp:extent cx="2843530" cy="1583690"/>
            <wp:effectExtent l="0" t="0" r="0" b="11430"/>
            <wp:docPr id="2" name="Picture 2" descr="完整目录记录整体继承与非法属性拼接对比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完整目录记录整体继承与非法属性拼接对比示意图"/>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844000" cy="1584000"/>
                    </a:xfrm>
                    <a:prstGeom prst="rect">
                      <a:avLst/>
                    </a:prstGeom>
                  </pic:spPr>
                </pic:pic>
              </a:graphicData>
            </a:graphic>
          </wp:inline>
        </w:drawing>
      </w:r>
    </w:p>
    <w:p w14:paraId="7AAF6AFB">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图2 完整目录记录整体继承与非法属性拼接的对比示意</w:t>
      </w:r>
    </w:p>
    <w:p w14:paraId="0A915C7B">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1.3 相关工作</w:t>
      </w:r>
    </w:p>
    <w:p w14:paraId="13E8E301">
      <w:pPr>
        <w:spacing w:before="0" w:after="0" w:line="276" w:lineRule="auto"/>
        <w:ind w:firstLine="360"/>
        <w:jc w:val="both"/>
      </w:pPr>
      <w:r>
        <w:rPr w:hint="eastAsia">
          <w:rFonts w:ascii="Times New Roman" w:hAnsi="Times New Roman" w:eastAsia="宋体" w:cs="Times New Roman"/>
          <w:sz w:val="18"/>
        </w:rPr>
        <w:t>本文采用顺序编码引用：方括号中的数字与文末参考文献一一对应，例如[1]表示文末第1篇文献；同一主题的代表性工作在相应叙述后逐项列出。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w:t>
      </w:r>
      <w:r>
        <w:rPr w:hint="default">
          <w:rFonts w:ascii="Cambria Math" w:hAnsi="Cambria Math" w:eastAsia="Cambria Math" w:cs="Cambria Math"/>
          <w:sz w:val="18"/>
        </w:rPr>
        <w:t>ε</w:t>
      </w:r>
      <w:r>
        <w:rPr w:hint="eastAsia">
          <w:rFonts w:ascii="Times New Roman" w:hAnsi="Times New Roman" w:eastAsia="宋体" w:cs="Times New Roman"/>
          <w:sz w:val="18"/>
        </w:rPr>
        <w:t>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现行国家标准[12]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40" w:after="20" w:line="240" w:lineRule="auto"/>
        <w:ind w:firstLine="0"/>
        <w:jc w:val="center"/>
      </w:pPr>
      <w:r>
        <w:rPr w:hint="eastAsia">
          <w:rFonts w:hint="eastAsia" w:ascii="Times New Roman" w:hAnsi="Times New Roman" w:eastAsia="宋体" w:cs="Times New Roman"/>
          <w:b w:val="0"/>
          <w:bCs/>
          <w:i w:val="0"/>
          <w:color w:val="000000"/>
          <w:sz w:val="18"/>
          <w:szCs w:val="18"/>
        </w:rPr>
        <w:t>表2 相关研究与本文方法的关键特征</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050"/>
        <w:gridCol w:w="1050"/>
        <w:gridCol w:w="119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50" w:type="dxa"/>
            <w:shd w:val="clear" w:color="auto" w:fill="D9EAF7"/>
            <w:tcMar>
              <w:top w:w="65" w:type="dxa"/>
              <w:left w:w="70" w:type="dxa"/>
              <w:bottom w:w="65" w:type="dxa"/>
              <w:right w:w="70" w:type="dxa"/>
            </w:tcMar>
            <w:vAlign w:val="center"/>
          </w:tcPr>
          <w:p w14:paraId="7F24C98A">
            <w:pPr>
              <w:spacing w:before="0" w:after="0" w:line="240" w:lineRule="auto"/>
              <w:ind w:firstLine="0"/>
              <w:jc w:val="center"/>
            </w:pPr>
            <w:r>
              <w:rPr w:hint="eastAsia">
                <w:rFonts w:hint="eastAsia" w:ascii="Times New Roman" w:hAnsi="Times New Roman" w:eastAsia="宋体" w:cs="Times New Roman"/>
                <w:b/>
                <w:sz w:val="15"/>
                <w:szCs w:val="16"/>
              </w:rPr>
              <w:t>研究类别</w:t>
            </w:r>
          </w:p>
        </w:tc>
        <w:tc>
          <w:tcPr>
            <w:tcW w:w="1050" w:type="dxa"/>
            <w:shd w:val="clear" w:color="auto" w:fill="D9EAF7"/>
            <w:tcMar>
              <w:top w:w="65" w:type="dxa"/>
              <w:left w:w="70" w:type="dxa"/>
              <w:bottom w:w="65" w:type="dxa"/>
              <w:right w:w="70" w:type="dxa"/>
            </w:tcMar>
            <w:vAlign w:val="center"/>
          </w:tcPr>
          <w:p w14:paraId="7F24C98C">
            <w:pPr>
              <w:spacing w:before="0" w:after="0" w:line="240" w:lineRule="auto"/>
              <w:ind w:firstLine="0"/>
              <w:jc w:val="center"/>
            </w:pPr>
            <w:r>
              <w:rPr w:hint="eastAsia">
                <w:rFonts w:hint="eastAsia" w:ascii="Times New Roman" w:hAnsi="Times New Roman" w:eastAsia="宋体" w:cs="Times New Roman"/>
                <w:b/>
                <w:sz w:val="15"/>
                <w:szCs w:val="16"/>
              </w:rPr>
              <w:t>代表性设计变量表达</w:t>
            </w:r>
          </w:p>
        </w:tc>
        <w:tc>
          <w:tcPr>
            <w:tcW w:w="1050" w:type="dxa"/>
            <w:shd w:val="clear" w:color="auto" w:fill="D9EAF7"/>
            <w:tcMar>
              <w:top w:w="65" w:type="dxa"/>
              <w:left w:w="70" w:type="dxa"/>
              <w:bottom w:w="65" w:type="dxa"/>
              <w:right w:w="70" w:type="dxa"/>
            </w:tcMar>
            <w:vAlign w:val="center"/>
          </w:tcPr>
          <w:p w14:paraId="7F24C98E">
            <w:pPr>
              <w:spacing w:before="0" w:after="0" w:line="240" w:lineRule="auto"/>
              <w:ind w:firstLine="0"/>
              <w:jc w:val="center"/>
            </w:pPr>
            <w:r>
              <w:rPr w:hint="eastAsia">
                <w:rFonts w:hint="eastAsia" w:ascii="Times New Roman" w:hAnsi="Times New Roman" w:eastAsia="宋体" w:cs="Times New Roman"/>
                <w:b/>
                <w:sz w:val="15"/>
                <w:szCs w:val="16"/>
              </w:rPr>
              <w:t>约束与搜索</w:t>
            </w:r>
          </w:p>
        </w:tc>
        <w:tc>
          <w:tcPr>
            <w:tcW w:w="1190" w:type="dxa"/>
            <w:shd w:val="clear" w:color="auto" w:fill="D9EAF7"/>
            <w:tcMar>
              <w:top w:w="65" w:type="dxa"/>
              <w:left w:w="70" w:type="dxa"/>
              <w:bottom w:w="65" w:type="dxa"/>
              <w:right w:w="70" w:type="dxa"/>
            </w:tcMar>
            <w:vAlign w:val="center"/>
          </w:tcPr>
          <w:p w14:paraId="7F24C990">
            <w:pPr>
              <w:spacing w:before="0" w:after="0" w:line="240" w:lineRule="auto"/>
              <w:ind w:firstLine="0"/>
              <w:jc w:val="center"/>
            </w:pPr>
            <w:r>
              <w:rPr w:hint="eastAsia">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FFFFF"/>
            <w:tcMar>
              <w:top w:w="65" w:type="dxa"/>
              <w:left w:w="70" w:type="dxa"/>
              <w:bottom w:w="65" w:type="dxa"/>
              <w:right w:w="70" w:type="dxa"/>
            </w:tcMar>
            <w:vAlign w:val="center"/>
          </w:tcPr>
          <w:p w14:paraId="7F24C992">
            <w:pPr>
              <w:spacing w:before="0" w:after="0" w:line="240" w:lineRule="auto"/>
              <w:ind w:firstLine="0"/>
              <w:jc w:val="center"/>
            </w:pPr>
            <w:r>
              <w:rPr w:hint="eastAsia">
                <w:rFonts w:hint="eastAsia" w:ascii="Times New Roman" w:hAnsi="Times New Roman" w:eastAsia="宋体" w:cs="Times New Roman"/>
                <w:sz w:val="15"/>
                <w:szCs w:val="16"/>
              </w:rPr>
              <w:t>变压器优化研究</w:t>
            </w:r>
          </w:p>
        </w:tc>
        <w:tc>
          <w:tcPr>
            <w:tcW w:w="1050" w:type="dxa"/>
            <w:shd w:val="clear" w:color="auto" w:fill="FFFFFF"/>
            <w:tcMar>
              <w:top w:w="65" w:type="dxa"/>
              <w:left w:w="70" w:type="dxa"/>
              <w:bottom w:w="65" w:type="dxa"/>
              <w:right w:w="70" w:type="dxa"/>
            </w:tcMar>
            <w:vAlign w:val="center"/>
          </w:tcPr>
          <w:p w14:paraId="7F24C994">
            <w:pPr>
              <w:spacing w:before="0" w:after="0" w:line="240" w:lineRule="auto"/>
              <w:ind w:firstLine="0"/>
              <w:jc w:val="center"/>
            </w:pPr>
            <w:r>
              <w:rPr w:hint="eastAsia">
                <w:rFonts w:hint="eastAsia" w:ascii="Times New Roman" w:hAnsi="Times New Roman" w:eastAsia="宋体" w:cs="Times New Roman"/>
                <w:sz w:val="15"/>
                <w:szCs w:val="16"/>
              </w:rPr>
              <w:t>常见为连续或独立几何参数</w:t>
            </w:r>
          </w:p>
        </w:tc>
        <w:tc>
          <w:tcPr>
            <w:tcW w:w="1050" w:type="dxa"/>
            <w:shd w:val="clear" w:color="auto" w:fill="FFFFFF"/>
            <w:tcMar>
              <w:top w:w="65" w:type="dxa"/>
              <w:left w:w="70" w:type="dxa"/>
              <w:bottom w:w="65" w:type="dxa"/>
              <w:right w:w="70" w:type="dxa"/>
            </w:tcMar>
            <w:vAlign w:val="center"/>
          </w:tcPr>
          <w:p w14:paraId="7F24C996">
            <w:pPr>
              <w:spacing w:before="0" w:after="0" w:line="240" w:lineRule="auto"/>
              <w:ind w:firstLine="0"/>
              <w:jc w:val="center"/>
            </w:pPr>
            <w:r>
              <w:rPr w:hint="eastAsia">
                <w:rFonts w:hint="eastAsia" w:ascii="Times New Roman" w:hAnsi="Times New Roman" w:eastAsia="宋体" w:cs="Times New Roman"/>
                <w:sz w:val="15"/>
                <w:szCs w:val="16"/>
              </w:rPr>
              <w:t>启发式或多目标优化</w:t>
            </w:r>
          </w:p>
        </w:tc>
        <w:tc>
          <w:tcPr>
            <w:tcW w:w="1190" w:type="dxa"/>
            <w:shd w:val="clear" w:color="auto" w:fill="FFFFFF"/>
            <w:tcMar>
              <w:top w:w="65" w:type="dxa"/>
              <w:left w:w="70" w:type="dxa"/>
              <w:bottom w:w="65" w:type="dxa"/>
              <w:right w:w="70" w:type="dxa"/>
            </w:tcMar>
            <w:vAlign w:val="center"/>
          </w:tcPr>
          <w:p w14:paraId="7F24C998">
            <w:pPr>
              <w:spacing w:before="0" w:after="0" w:line="240" w:lineRule="auto"/>
              <w:ind w:firstLine="0"/>
              <w:jc w:val="center"/>
            </w:pPr>
            <w:r>
              <w:rPr w:hint="eastAsia">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5F8FA"/>
            <w:tcMar>
              <w:top w:w="65" w:type="dxa"/>
              <w:left w:w="70" w:type="dxa"/>
              <w:bottom w:w="65" w:type="dxa"/>
              <w:right w:w="70" w:type="dxa"/>
            </w:tcMar>
            <w:vAlign w:val="center"/>
          </w:tcPr>
          <w:p w14:paraId="7F24C99A">
            <w:pPr>
              <w:spacing w:before="0" w:after="0" w:line="240" w:lineRule="auto"/>
              <w:ind w:firstLine="0"/>
              <w:jc w:val="center"/>
            </w:pPr>
            <w:r>
              <w:rPr w:hint="eastAsia">
                <w:rFonts w:hint="eastAsia" w:ascii="Times New Roman" w:hAnsi="Times New Roman" w:eastAsia="宋体" w:cs="Times New Roman"/>
                <w:sz w:val="15"/>
                <w:szCs w:val="16"/>
              </w:rPr>
              <w:t>约束进化优化</w:t>
            </w:r>
          </w:p>
        </w:tc>
        <w:tc>
          <w:tcPr>
            <w:tcW w:w="1050" w:type="dxa"/>
            <w:shd w:val="clear" w:color="auto" w:fill="F5F8FA"/>
            <w:tcMar>
              <w:top w:w="65" w:type="dxa"/>
              <w:left w:w="70" w:type="dxa"/>
              <w:bottom w:w="65" w:type="dxa"/>
              <w:right w:w="70" w:type="dxa"/>
            </w:tcMar>
            <w:vAlign w:val="center"/>
          </w:tcPr>
          <w:p w14:paraId="7F24C99C">
            <w:pPr>
              <w:spacing w:before="0" w:after="0" w:line="240" w:lineRule="auto"/>
              <w:ind w:firstLine="0"/>
              <w:jc w:val="center"/>
            </w:pPr>
            <w:r>
              <w:rPr w:hint="eastAsia">
                <w:rFonts w:hint="eastAsia" w:ascii="Times New Roman" w:hAnsi="Times New Roman" w:eastAsia="宋体" w:cs="Times New Roman"/>
                <w:sz w:val="15"/>
                <w:szCs w:val="16"/>
              </w:rPr>
              <w:t>常见的一般编码</w:t>
            </w:r>
          </w:p>
        </w:tc>
        <w:tc>
          <w:tcPr>
            <w:tcW w:w="1050" w:type="dxa"/>
            <w:shd w:val="clear" w:color="auto" w:fill="F5F8FA"/>
            <w:tcMar>
              <w:top w:w="65" w:type="dxa"/>
              <w:left w:w="70" w:type="dxa"/>
              <w:bottom w:w="65" w:type="dxa"/>
              <w:right w:w="70" w:type="dxa"/>
            </w:tcMar>
            <w:vAlign w:val="center"/>
          </w:tcPr>
          <w:p w14:paraId="7F24C99E">
            <w:pPr>
              <w:spacing w:before="0" w:after="0" w:line="240" w:lineRule="auto"/>
              <w:ind w:firstLine="0"/>
              <w:jc w:val="center"/>
            </w:pPr>
            <w:r>
              <w:rPr w:hint="eastAsia">
                <w:rFonts w:hint="eastAsia" w:ascii="Times New Roman" w:hAnsi="Times New Roman" w:eastAsia="宋体" w:cs="Times New Roman"/>
                <w:sz w:val="15"/>
                <w:szCs w:val="16"/>
              </w:rPr>
              <w:t>可行性规则或 epsilon 约束</w:t>
            </w:r>
          </w:p>
        </w:tc>
        <w:tc>
          <w:tcPr>
            <w:tcW w:w="1190" w:type="dxa"/>
            <w:shd w:val="clear" w:color="auto" w:fill="F5F8FA"/>
            <w:tcMar>
              <w:top w:w="65" w:type="dxa"/>
              <w:left w:w="70" w:type="dxa"/>
              <w:bottom w:w="65" w:type="dxa"/>
              <w:right w:w="70" w:type="dxa"/>
            </w:tcMar>
            <w:vAlign w:val="center"/>
          </w:tcPr>
          <w:p w14:paraId="7F24C9A0">
            <w:pPr>
              <w:spacing w:before="0" w:after="0" w:line="240" w:lineRule="auto"/>
              <w:ind w:firstLine="0"/>
              <w:jc w:val="center"/>
            </w:pPr>
            <w:r>
              <w:rPr w:hint="eastAsia">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FFFFF"/>
            <w:tcMar>
              <w:top w:w="65" w:type="dxa"/>
              <w:left w:w="70" w:type="dxa"/>
              <w:bottom w:w="65" w:type="dxa"/>
              <w:right w:w="70" w:type="dxa"/>
            </w:tcMar>
            <w:vAlign w:val="center"/>
          </w:tcPr>
          <w:p w14:paraId="7F24C9A2">
            <w:pPr>
              <w:spacing w:before="0" w:after="0" w:line="240" w:lineRule="auto"/>
              <w:ind w:firstLine="0"/>
              <w:jc w:val="center"/>
            </w:pPr>
            <w:r>
              <w:rPr w:hint="eastAsia">
                <w:rFonts w:hint="eastAsia" w:ascii="Times New Roman" w:hAnsi="Times New Roman" w:eastAsia="宋体" w:cs="Times New Roman"/>
                <w:sz w:val="15"/>
                <w:szCs w:val="16"/>
              </w:rPr>
              <w:t>组合优化与复现研究</w:t>
            </w:r>
          </w:p>
        </w:tc>
        <w:tc>
          <w:tcPr>
            <w:tcW w:w="1050" w:type="dxa"/>
            <w:shd w:val="clear" w:color="auto" w:fill="FFFFFF"/>
            <w:tcMar>
              <w:top w:w="65" w:type="dxa"/>
              <w:left w:w="70" w:type="dxa"/>
              <w:bottom w:w="65" w:type="dxa"/>
              <w:right w:w="70" w:type="dxa"/>
            </w:tcMar>
            <w:vAlign w:val="center"/>
          </w:tcPr>
          <w:p w14:paraId="7F24C9A4">
            <w:pPr>
              <w:spacing w:before="0" w:after="0" w:line="240" w:lineRule="auto"/>
              <w:ind w:firstLine="0"/>
              <w:jc w:val="center"/>
            </w:pPr>
            <w:r>
              <w:rPr w:hint="eastAsia">
                <w:rFonts w:hint="eastAsia" w:ascii="Times New Roman" w:hAnsi="Times New Roman" w:eastAsia="宋体" w:cs="Times New Roman"/>
                <w:sz w:val="15"/>
                <w:szCs w:val="16"/>
              </w:rPr>
              <w:t>结构保持编码</w:t>
            </w:r>
          </w:p>
        </w:tc>
        <w:tc>
          <w:tcPr>
            <w:tcW w:w="1050" w:type="dxa"/>
            <w:shd w:val="clear" w:color="auto" w:fill="FFFFFF"/>
            <w:tcMar>
              <w:top w:w="65" w:type="dxa"/>
              <w:left w:w="70" w:type="dxa"/>
              <w:bottom w:w="65" w:type="dxa"/>
              <w:right w:w="70" w:type="dxa"/>
            </w:tcMar>
            <w:vAlign w:val="center"/>
          </w:tcPr>
          <w:p w14:paraId="7F24C9A6">
            <w:pPr>
              <w:spacing w:before="0" w:after="0" w:line="240" w:lineRule="auto"/>
              <w:ind w:firstLine="0"/>
              <w:jc w:val="center"/>
            </w:pPr>
            <w:r>
              <w:rPr w:hint="eastAsia">
                <w:rFonts w:hint="eastAsia" w:ascii="Times New Roman" w:hAnsi="Times New Roman" w:eastAsia="宋体" w:cs="Times New Roman"/>
                <w:sz w:val="15"/>
                <w:szCs w:val="16"/>
              </w:rPr>
              <w:t>局部搜索与轨迹复核</w:t>
            </w:r>
          </w:p>
        </w:tc>
        <w:tc>
          <w:tcPr>
            <w:tcW w:w="1190" w:type="dxa"/>
            <w:shd w:val="clear" w:color="auto" w:fill="FFFFFF"/>
            <w:tcMar>
              <w:top w:w="65" w:type="dxa"/>
              <w:left w:w="70" w:type="dxa"/>
              <w:bottom w:w="65" w:type="dxa"/>
              <w:right w:w="70" w:type="dxa"/>
            </w:tcMar>
            <w:vAlign w:val="center"/>
          </w:tcPr>
          <w:p w14:paraId="7F24C9A8">
            <w:pPr>
              <w:spacing w:before="0" w:after="0" w:line="240" w:lineRule="auto"/>
              <w:ind w:firstLine="0"/>
              <w:jc w:val="center"/>
            </w:pPr>
            <w:r>
              <w:rPr w:hint="eastAsia">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5F8FA"/>
            <w:tcMar>
              <w:top w:w="65" w:type="dxa"/>
              <w:left w:w="70" w:type="dxa"/>
              <w:bottom w:w="65" w:type="dxa"/>
              <w:right w:w="70" w:type="dxa"/>
            </w:tcMar>
            <w:vAlign w:val="center"/>
          </w:tcPr>
          <w:p w14:paraId="7F24C9AA">
            <w:pPr>
              <w:spacing w:before="0" w:after="0" w:line="240" w:lineRule="auto"/>
              <w:ind w:firstLine="0"/>
              <w:jc w:val="center"/>
            </w:pPr>
            <w:r>
              <w:rPr w:hint="eastAsia">
                <w:rFonts w:hint="eastAsia" w:ascii="Times New Roman" w:hAnsi="Times New Roman" w:eastAsia="宋体" w:cs="Times New Roman"/>
                <w:sz w:val="15"/>
                <w:szCs w:val="16"/>
              </w:rPr>
              <w:t>本文方法</w:t>
            </w:r>
          </w:p>
        </w:tc>
        <w:tc>
          <w:tcPr>
            <w:tcW w:w="1050" w:type="dxa"/>
            <w:shd w:val="clear" w:color="auto" w:fill="F5F8FA"/>
            <w:tcMar>
              <w:top w:w="65" w:type="dxa"/>
              <w:left w:w="70" w:type="dxa"/>
              <w:bottom w:w="65" w:type="dxa"/>
              <w:right w:w="70" w:type="dxa"/>
            </w:tcMar>
            <w:vAlign w:val="center"/>
          </w:tcPr>
          <w:p w14:paraId="7F24C9AC">
            <w:pPr>
              <w:spacing w:before="0" w:after="0" w:line="240" w:lineRule="auto"/>
              <w:ind w:firstLine="0"/>
              <w:jc w:val="center"/>
            </w:pPr>
            <w:r>
              <w:rPr w:hint="eastAsia">
                <w:rFonts w:hint="eastAsia" w:ascii="Times New Roman" w:hAnsi="Times New Roman" w:eastAsia="宋体" w:cs="Times New Roman"/>
                <w:sz w:val="15"/>
                <w:szCs w:val="16"/>
              </w:rPr>
              <w:t>完整目录记录</w:t>
            </w:r>
          </w:p>
        </w:tc>
        <w:tc>
          <w:tcPr>
            <w:tcW w:w="1050" w:type="dxa"/>
            <w:shd w:val="clear" w:color="auto" w:fill="F5F8FA"/>
            <w:tcMar>
              <w:top w:w="65" w:type="dxa"/>
              <w:left w:w="70" w:type="dxa"/>
              <w:bottom w:w="65" w:type="dxa"/>
              <w:right w:w="70" w:type="dxa"/>
            </w:tcMar>
            <w:vAlign w:val="center"/>
          </w:tcPr>
          <w:p w14:paraId="7F24C9AE">
            <w:pPr>
              <w:spacing w:before="0" w:after="0" w:line="240" w:lineRule="auto"/>
              <w:ind w:firstLine="0"/>
              <w:jc w:val="left"/>
            </w:pPr>
            <w:r>
              <w:rPr w:hint="eastAsia">
                <w:rFonts w:ascii="Times New Roman" w:hAnsi="Times New Roman" w:eastAsia="宋体" w:cs="Times New Roman"/>
                <w:sz w:val="15"/>
              </w:rPr>
              <w:t>双档案、候选池与可选诊断反馈</w:t>
            </w:r>
          </w:p>
        </w:tc>
        <w:tc>
          <w:tcPr>
            <w:tcW w:w="1190" w:type="dxa"/>
            <w:shd w:val="clear" w:color="auto" w:fill="F5F8FA"/>
            <w:tcMar>
              <w:top w:w="65" w:type="dxa"/>
              <w:left w:w="70" w:type="dxa"/>
              <w:bottom w:w="65" w:type="dxa"/>
              <w:right w:w="70" w:type="dxa"/>
            </w:tcMar>
            <w:vAlign w:val="center"/>
          </w:tcPr>
          <w:p w14:paraId="7F24C9B0">
            <w:pPr>
              <w:spacing w:before="0" w:after="0" w:line="240" w:lineRule="auto"/>
              <w:ind w:firstLine="0"/>
              <w:jc w:val="center"/>
            </w:pPr>
            <w:r>
              <w:rPr w:hint="eastAsia">
                <w:rFonts w:hint="eastAsia" w:ascii="Times New Roman" w:hAnsi="Times New Roman" w:eastAsia="宋体" w:cs="Times New Roman"/>
                <w:sz w:val="15"/>
                <w:szCs w:val="16"/>
              </w:rPr>
              <w:t>目录还原、轨迹与统计</w:t>
            </w:r>
          </w:p>
        </w:tc>
      </w:tr>
    </w:tbl>
    <w:p w14:paraId="4FD3E059">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2 目录约束双档案遗传优化方法</w:t>
      </w:r>
    </w:p>
    <w:p w14:paraId="658B4476">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2.1 双档案与多样性维护</w:t>
      </w:r>
    </w:p>
    <w:p w14:paraId="34807ADF">
      <w:pPr>
        <w:spacing w:before="0" w:after="0" w:line="276" w:lineRule="auto"/>
        <w:ind w:firstLine="360"/>
        <w:jc w:val="both"/>
      </w:pPr>
      <w:r>
        <w:rPr w:hint="eastAsia">
          <w:rFonts w:ascii="Times New Roman" w:hAnsi="Times New Roman" w:eastAsia="宋体" w:cs="Times New Roman"/>
          <w:sz w:val="18"/>
        </w:rPr>
        <w:t>严格可行档案记为</w:t>
      </w:r>
      <m:oMath>
        <m:sSub>
          <m:e>
            <m:r>
              <m:rPr>
                <w:rFonts w:ascii="Cambria Math" w:hAnsi="Cambria Math"/>
              </m:rPr>
              <m:t>A</m:t>
            </m:r>
          </m:e>
          <m:sub>
            <m:r>
              <m:rPr>
                <w:rFonts w:ascii="Cambria Math" w:hAnsi="Cambria Math"/>
              </m:rPr>
              <m:t>f</m:t>
            </m:r>
          </m:sub>
        </m:sSub>
      </m:oMath>
      <w:r>
        <w:rPr w:hint="eastAsia">
          <w:rFonts w:ascii="Times New Roman" w:hAnsi="Times New Roman" w:eastAsia="宋体" w:cs="Times New Roman"/>
          <w:sz w:val="18"/>
        </w:rPr>
        <w:t>，其中仅保留calculable=True、complete=True且全部工程约束均满足的候选，并按总成本从低到高排序。近可行档案记为</w:t>
      </w:r>
      <m:oMath>
        <m:sSub>
          <m:e>
            <m:r>
              <m:rPr>
                <w:rFonts w:ascii="Cambria Math" w:hAnsi="Cambria Math"/>
              </m:rPr>
              <m:t>A</m:t>
            </m:r>
          </m:e>
          <m:sub>
            <m:r>
              <m:rPr>
                <w:rFonts w:ascii="Cambria Math" w:hAnsi="Cambria Math"/>
              </m:rPr>
              <m:t>n</m:t>
            </m:r>
          </m:sub>
        </m:sSub>
      </m:oMath>
      <w:r>
        <w:rPr w:hint="eastAsia">
          <w:rFonts w:ascii="Times New Roman" w:hAnsi="Times New Roman" w:eastAsia="宋体" w:cs="Times New Roman"/>
          <w:sz w:val="18"/>
        </w:rPr>
        <w:t>，其中保留calculable=True、complete=True、但至少一项约束超限的候选。设</w:t>
      </w:r>
      <m:oMath>
        <m:r>
          <m:rPr>
            <w:rFonts w:ascii="Cambria Math" w:hAnsi="Cambria Math"/>
          </m:rPr>
          <m:t>I(q)</m:t>
        </m:r>
      </m:oMath>
      <w:r>
        <w:rPr w:hint="eastAsia">
          <w:rFonts w:ascii="Times New Roman" w:hAnsi="Times New Roman" w:eastAsia="宋体" w:cs="Times New Roman"/>
          <w:sz w:val="18"/>
        </w:rPr>
        <w:t>为当前页面配置实际提供上下限的约束集合；配置未提供范围时不虚构该项硬约束。对</w:t>
      </w:r>
      <m:oMath>
        <m:sSub>
          <m:e>
            <m:r>
              <m:rPr>
                <w:rFonts w:ascii="Cambria Math" w:hAnsi="Cambria Math"/>
              </m:rPr>
              <m:t>A</m:t>
            </m:r>
          </m:e>
          <m:sub>
            <m:r>
              <m:rPr>
                <w:rFonts w:ascii="Cambria Math" w:hAnsi="Cambria Math"/>
              </m:rPr>
              <m:t>n</m:t>
            </m:r>
          </m:sub>
        </m:sSub>
      </m:oMath>
      <w:r>
        <w:rPr w:hint="eastAsia">
          <w:rFonts w:ascii="Times New Roman" w:hAnsi="Times New Roman" w:eastAsia="宋体" w:cs="Times New Roman"/>
          <w:sz w:val="18"/>
        </w:rPr>
        <w:t>内候选按</w:t>
      </w:r>
      <m:oMath>
        <m:r>
          <m:rPr>
            <w:rFonts w:ascii="Cambria Math" w:hAnsi="Cambria Math"/>
          </m:rPr>
          <m:t>κ(x)=(V(x),</m:t>
        </m:r>
      </m:oMath>
      <m:oMath>
        <m:sSub>
          <m:e>
            <m:r>
              <m:rPr>
                <w:rFonts w:ascii="Cambria Math" w:hAnsi="Cambria Math"/>
              </m:rPr>
              <m:t>V</m:t>
            </m:r>
          </m:e>
          <m:sub>
            <m:r>
              <m:rPr>
                <w:rFonts w:ascii="Cambria Math" w:hAnsi="Cambria Math"/>
              </m:rPr>
              <m:t>max</m:t>
            </m:r>
          </m:sub>
        </m:sSub>
        <m:r>
          <m:rPr>
            <w:rFonts w:ascii="Cambria Math" w:hAnsi="Cambria Math"/>
          </m:rPr>
          <m:t>(x),</m:t>
        </m:r>
      </m:oMath>
      <m:oMath>
        <m:sSub>
          <m:e>
            <m:r>
              <m:rPr>
                <w:rFonts w:ascii="Cambria Math" w:hAnsi="Cambria Math"/>
              </m:rPr>
              <m:t>n</m:t>
            </m:r>
          </m:e>
          <m:sub>
            <m:r>
              <m:rPr>
                <w:rFonts w:ascii="Cambria Math" w:hAnsi="Cambria Math"/>
              </m:rPr>
              <m:t>v</m:t>
            </m:r>
          </m:sub>
        </m:sSub>
        <m:r>
          <m:rPr>
            <w:rFonts w:ascii="Cambria Math" w:hAnsi="Cambria Math"/>
          </m:rPr>
          <m:t>(x),C(x))</m:t>
        </m:r>
      </m:oMath>
      <w:r>
        <w:rPr w:hint="eastAsia">
          <w:rFonts w:ascii="Times New Roman" w:hAnsi="Times New Roman" w:eastAsia="宋体" w:cs="Times New Roman"/>
          <w:sz w:val="18"/>
        </w:rPr>
        <w:t>进行升序字典序排序：首先比较归一化超限总和</w:t>
      </w:r>
      <m:oMath>
        <m:r>
          <m:rPr>
            <w:rFonts w:ascii="Cambria Math" w:hAnsi="Cambria Math"/>
          </m:rPr>
          <m:t>V(x)</m:t>
        </m:r>
      </m:oMath>
      <w:r>
        <w:rPr w:hint="eastAsia">
          <w:rFonts w:ascii="Times New Roman" w:hAnsi="Times New Roman" w:eastAsia="宋体" w:cs="Times New Roman"/>
          <w:sz w:val="18"/>
        </w:rPr>
        <w:t>，若相同则依次比较最大单项超限</w:t>
      </w:r>
      <m:oMath>
        <m:sSub>
          <m:e>
            <m:r>
              <m:rPr>
                <w:rFonts w:ascii="Cambria Math" w:hAnsi="Cambria Math"/>
              </m:rPr>
              <m:t>V</m:t>
            </m:r>
          </m:e>
          <m:sub>
            <m:r>
              <m:rPr>
                <w:rFonts w:ascii="Cambria Math" w:hAnsi="Cambria Math"/>
              </m:rPr>
              <m:t>max</m:t>
            </m:r>
          </m:sub>
        </m:sSub>
        <m:r>
          <m:rPr>
            <w:rFonts w:ascii="Cambria Math" w:hAnsi="Cambria Math"/>
          </m:rPr>
          <m:t>(x)</m:t>
        </m:r>
      </m:oMath>
      <w:r>
        <w:rPr w:hint="eastAsia">
          <w:rFonts w:ascii="Times New Roman" w:hAnsi="Times New Roman" w:eastAsia="宋体" w:cs="Times New Roman"/>
          <w:sz w:val="18"/>
        </w:rPr>
        <w:t>、违规项数量</w:t>
      </w:r>
      <m:oMath>
        <m:sSub>
          <m:e>
            <m:r>
              <m:rPr>
                <w:rFonts w:ascii="Cambria Math" w:hAnsi="Cambria Math"/>
              </m:rPr>
              <m:t>n</m:t>
            </m:r>
          </m:e>
          <m:sub>
            <m:r>
              <m:rPr>
                <w:rFonts w:ascii="Cambria Math" w:hAnsi="Cambria Math"/>
              </m:rPr>
              <m:t>v</m:t>
            </m:r>
          </m:sub>
        </m:sSub>
        <m:r>
          <m:rPr>
            <w:rFonts w:ascii="Cambria Math" w:hAnsi="Cambria Math"/>
          </m:rPr>
          <m:t>(x)</m:t>
        </m:r>
      </m:oMath>
      <w:r>
        <w:rPr w:hint="eastAsia">
          <w:rFonts w:ascii="Times New Roman" w:hAnsi="Times New Roman" w:eastAsia="宋体" w:cs="Times New Roman"/>
          <w:sz w:val="18"/>
        </w:rPr>
        <w:t>和总成本</w:t>
      </w:r>
      <m:oMath>
        <m:r>
          <m:rPr>
            <w:rFonts w:ascii="Cambria Math" w:hAnsi="Cambria Math"/>
          </m:rPr>
          <m:t>C(x)</m:t>
        </m:r>
      </m:oMath>
      <w:r>
        <w:rPr w:hint="eastAsia">
          <w:rFonts w:ascii="Times New Roman" w:hAnsi="Times New Roman" w:eastAsia="宋体" w:cs="Times New Roman"/>
          <w:sz w:val="18"/>
        </w:rPr>
        <w:t>。两档案容量均固定为</w:t>
      </w:r>
      <m:oMath>
        <m:r>
          <m:rPr>
            <w:rFonts w:ascii="Cambria Math" w:hAnsi="Cambria Math"/>
          </m:rPr>
          <m:t>L=24</m:t>
        </m:r>
      </m:oMath>
      <w:r>
        <w:rPr w:hint="eastAsia">
          <w:rFonts w:ascii="Times New Roman" w:hAnsi="Times New Roman" w:eastAsia="宋体" w:cs="Times New Roman"/>
          <w:sz w:val="18"/>
        </w:rPr>
        <w:t>，作为独立于工作种群规模的截断参数；工作种群规模则随第0代候选池规模设定。</w:t>
      </w:r>
      <m:oMath>
        <m:sSub>
          <m:e>
            <m:r>
              <m:rPr>
                <w:rFonts w:ascii="Cambria Math" w:hAnsi="Cambria Math"/>
              </m:rPr>
              <m:t>A</m:t>
            </m:r>
          </m:e>
          <m:sub>
            <m:r>
              <m:rPr>
                <w:rFonts w:ascii="Cambria Math" w:hAnsi="Cambria Math"/>
              </m:rPr>
              <m:t>f</m:t>
            </m:r>
          </m:sub>
        </m:sSub>
      </m:oMath>
      <w:r>
        <w:rPr w:hint="eastAsia">
          <w:rFonts w:ascii="Times New Roman" w:hAnsi="Times New Roman" w:eastAsia="宋体" w:cs="Times New Roman"/>
          <w:sz w:val="18"/>
        </w:rPr>
        <w:t>是优化器最终输出候选的唯一来源，</w:t>
      </w:r>
      <m:oMath>
        <m:sSub>
          <m:e>
            <m:r>
              <m:rPr>
                <w:rFonts w:ascii="Cambria Math" w:hAnsi="Cambria Math"/>
              </m:rPr>
              <m:t>A</m:t>
            </m:r>
          </m:e>
          <m:sub>
            <m:r>
              <m:rPr>
                <w:rFonts w:ascii="Cambria Math" w:hAnsi="Cambria Math"/>
              </m:rPr>
              <m:t>n</m:t>
            </m:r>
          </m:sub>
        </m:sSub>
      </m:oMath>
      <w:r>
        <w:rPr w:hint="eastAsia">
          <w:rFonts w:ascii="Times New Roman" w:hAnsi="Times New Roman" w:eastAsia="宋体" w:cs="Times New Roman"/>
          <w:sz w:val="18"/>
        </w:rPr>
        <w:t>提供跨越约束边界的父代机会；仅在诊断扩展策略启用时，还可作为诊断反馈输入。</w:t>
      </w:r>
    </w:p>
    <w:p w14:paraId="29628508">
      <w:pPr>
        <w:pStyle w:val="5"/>
        <w:spacing w:before="60" w:after="20"/>
        <w:ind w:firstLine="0"/>
        <w:jc w:val="left"/>
      </w:pPr>
      <w:r>
        <w:rPr w:hint="eastAsia">
          <w:rFonts w:hint="eastAsia" w:ascii="Times New Roman" w:hAnsi="Times New Roman" w:eastAsia="黑体" w:cs="Times New Roman"/>
          <w:b/>
          <w:color w:val="000000"/>
          <w:sz w:val="18"/>
          <w:szCs w:val="19"/>
        </w:rPr>
        <w:t>2.1.1 严格可行与归一化超限</w:t>
      </w:r>
    </w:p>
    <w:p w14:paraId="030509A7">
      <w:pPr>
        <w:spacing w:after="0" w:line="276" w:lineRule="auto" w:before="0"/>
        <w:ind w:firstLine="360"/>
        <w:jc w:val="both"/>
      </w:pPr>
      <w:r>
        <w:rPr w:hint="eastAsia">
          <w:rFonts w:ascii="Times New Roman" w:hAnsi="Times New Roman" w:eastAsia="宋体" w:cs="Times New Roman"/>
          <w:sz w:val="18"/>
        </w:rPr>
        <w:t>严格可行的判定和相应精算输出见表3。对任一具有下、上界[l_i,u_i]的约束，若实际值y_i低于下界，其归一化超限为(l_i-y_i)/max(|l_i|,1)；若高于上界，则为(y_i-u_i)/max(|u_i|,1)；在区间内为0。冷却波纹补偿的单侧约束使用(oil_expansion-3×corr_expansion)/max(oil_expansion,1)。分母中的1用于避免约束基准值接近0时产生数值放大，并将不同量纲约束转换为无量纲的近似可比排序量。该归一化量仅用于近可行候选的搜索排序和诊断优先级，不解释为不同物理约束严重程度的严格等价度量。对完整且可计算的候选，</w:t>
      </w:r>
      <w:r>
        <w:rPr w:hint="default">
          <w:rFonts w:ascii="Cambria Math" w:hAnsi="Cambria Math" w:eastAsia="Cambria Math" w:cs="Cambria Math"/>
          <w:sz w:val="18"/>
        </w:rPr>
        <w:t>V(x)=</w:t>
      </w:r>
      <w:r>
        <w:rPr w:hint="default">
          <w:rFonts w:ascii="Cambria Math" w:hAnsi="Cambria Math" w:eastAsia="Cambria Math" w:cs="Cambria Math"/>
          <w:sz w:val="18"/>
        </w:rPr>
        <w:t>∑</w:t>
      </w:r>
      <w:r>
        <w:rPr w:hint="default">
          <w:rFonts w:ascii="Cambria Math" w:hAnsi="Cambria Math" w:eastAsia="Cambria Math" w:cs="Cambria Math"/>
          <w:sz w:val="18"/>
          <w:vertAlign w:val="subscript"/>
        </w:rPr>
        <w:t>i∈I(q)</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i</w:t>
      </w:r>
      <w:r>
        <w:rPr w:hint="default">
          <w:rFonts w:ascii="Cambria Math" w:hAnsi="Cambria Math" w:eastAsia="Cambria Math" w:cs="Cambria Math"/>
          <w:sz w:val="18"/>
        </w:rPr>
        <w:t>(x)</w:t>
      </w:r>
      <w:r>
        <w:rPr w:hint="eastAsia">
          <w:rFonts w:ascii="Times New Roman" w:hAnsi="Times New Roman" w:eastAsia="宋体" w:cs="Times New Roman"/>
          <w:sz w:val="18"/>
        </w:rPr>
        <w:t>，</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max</w:t>
      </w:r>
      <w:r>
        <w:rPr w:hint="default">
          <w:rFonts w:ascii="Cambria Math" w:hAnsi="Cambria Math" w:eastAsia="Cambria Math" w:cs="Cambria Math"/>
          <w:sz w:val="18"/>
        </w:rPr>
        <w:t>(x)=max</w:t>
      </w:r>
      <w:r>
        <w:rPr w:hint="default">
          <w:rFonts w:ascii="Cambria Math" w:hAnsi="Cambria Math" w:eastAsia="Cambria Math" w:cs="Cambria Math"/>
          <w:sz w:val="18"/>
        </w:rPr>
        <w:t>i∈I(q)</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i</w:t>
      </w:r>
      <w:r>
        <w:rPr w:hint="default">
          <w:rFonts w:ascii="Cambria Math" w:hAnsi="Cambria Math" w:eastAsia="Cambria Math" w:cs="Cambria Math"/>
          <w:sz w:val="18"/>
        </w:rPr>
        <w:t>(x)</w:t>
      </w:r>
      <w:r>
        <w:rPr w:hint="eastAsia">
          <w:rFonts w:ascii="Times New Roman" w:hAnsi="Times New Roman" w:eastAsia="宋体" w:cs="Times New Roman"/>
          <w:sz w:val="18"/>
        </w:rPr>
        <w:t>，</w:t>
      </w:r>
      <w:r>
        <w:rPr w:hint="default">
          <w:rFonts w:ascii="Cambria Math" w:hAnsi="Cambria Math" w:eastAsia="Cambria Math" w:cs="Cambria Math"/>
          <w:sz w:val="18"/>
        </w:rPr>
        <w:t>n</w:t>
      </w:r>
      <w:r>
        <w:rPr w:hint="default">
          <w:rFonts w:ascii="Cambria Math" w:hAnsi="Cambria Math" w:eastAsia="Cambria Math" w:cs="Cambria Math"/>
          <w:sz w:val="18"/>
          <w:vertAlign w:val="subscript"/>
        </w:rPr>
        <w:t>v</w:t>
      </w:r>
      <w:r>
        <w:rPr w:hint="default">
          <w:rFonts w:ascii="Cambria Math" w:hAnsi="Cambria Math" w:eastAsia="Cambria Math" w:cs="Cambria Math"/>
          <w:sz w:val="18"/>
        </w:rPr>
        <w:t>(x)=|{i∈I(q):</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i</w:t>
      </w:r>
      <w:r>
        <w:rPr w:hint="default">
          <w:rFonts w:ascii="Cambria Math" w:hAnsi="Cambria Math" w:eastAsia="Cambria Math" w:cs="Cambria Math"/>
          <w:sz w:val="18"/>
        </w:rPr>
        <w:t>(x)&gt;0}|</w:t>
      </w:r>
      <w:r>
        <w:rPr w:hint="eastAsia">
          <w:rFonts w:ascii="Times New Roman" w:hAnsi="Times New Roman" w:eastAsia="宋体" w:cs="Times New Roman"/>
          <w:sz w:val="18"/>
        </w:rPr>
        <w:t>，并据此进入</w:t>
      </w:r>
      <w:r>
        <w:rPr w:hint="default">
          <w:rFonts w:ascii="Cambria Math" w:hAnsi="Cambria Math" w:eastAsia="Cambria Math" w:cs="Cambria Math"/>
          <w:sz w:val="18"/>
        </w:rPr>
        <w:t>A</w:t>
      </w:r>
      <w:r>
        <w:rPr w:hint="default">
          <w:rFonts w:ascii="Cambria Math" w:hAnsi="Cambria Math" w:eastAsia="Cambria Math" w:cs="Cambria Math"/>
          <w:sz w:val="18"/>
          <w:vertAlign w:val="subscript"/>
        </w:rPr>
        <w:t>f</w:t>
      </w:r>
      <w:r>
        <w:rPr w:hint="eastAsia">
          <w:rFonts w:ascii="Times New Roman" w:hAnsi="Times New Roman" w:eastAsia="宋体" w:cs="Times New Roman"/>
          <w:sz w:val="18"/>
        </w:rPr>
        <w:t>或</w:t>
      </w:r>
      <w:r>
        <w:rPr w:hint="default">
          <w:rFonts w:ascii="Cambria Math" w:hAnsi="Cambria Math" w:eastAsia="Cambria Math" w:cs="Cambria Math"/>
          <w:sz w:val="18"/>
        </w:rPr>
        <w:t>A</w:t>
      </w:r>
      <w:r>
        <w:rPr w:hint="default">
          <w:rFonts w:ascii="Cambria Math" w:hAnsi="Cambria Math" w:eastAsia="Cambria Math" w:cs="Cambria Math"/>
          <w:sz w:val="18"/>
          <w:vertAlign w:val="subscript"/>
        </w:rPr>
        <w:t>n</w:t>
      </w:r>
      <w:r>
        <w:rPr w:hint="eastAsia">
          <w:rFonts w:ascii="Times New Roman" w:hAnsi="Times New Roman" w:eastAsia="宋体" w:cs="Times New Roman"/>
          <w:sz w:val="18"/>
        </w:rPr>
        <w:t>排序。complete与calculable分别刻画必要输出是否齐全、候选能否作为优化排序的计算结果，二者为不同门控维度，不以彼此互斥为前提；档案入口要求二者同时为True。complete=False表示候选未能得到P0、PK、UK、温升、尺寸、重量和成本等完整必要输出，原因可包括目录或关联记录无法还原、条件派生失败或公式链中断；calculable=False表示候选不可作为优化排序的可计算结果，常见原因包括磁密表等计算数据缺口。两类候选均不进入A_n，完整性违规仅用于失败归因和审计。严格可行当且仅当候选完整可计算且V(x)=0。</w:t>
      </w:r>
    </w:p>
    <w:p w14:paraId="67AAEEB8">
      <w:pPr>
        <w:keepNext/>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表3 工程约束分组、严格可行判定与归一化依据</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20"/>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4520" w:type="dxa"/>
            <w:shd w:val="clear" w:color="auto" w:fill="D9EAF7"/>
            <w:tcMar>
              <w:top w:w="70" w:type="dxa"/>
              <w:left w:w="90" w:type="dxa"/>
              <w:bottom w:w="70" w:type="dxa"/>
              <w:right w:w="90" w:type="dxa"/>
            </w:tcMar>
            <w:vAlign w:val="center"/>
          </w:tcPr>
          <w:p w14:paraId="7F24C3AB">
            <w:pPr>
              <w:spacing w:before="0" w:after="0" w:line="240" w:lineRule="auto"/>
              <w:ind w:firstLine="0"/>
              <w:jc w:val="center"/>
            </w:pPr>
            <w:r>
              <w:rPr w:hint="eastAsia">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667F457C">
            <w:pPr>
              <w:spacing w:before="0" w:after="0" w:line="240" w:lineRule="auto"/>
              <w:ind w:firstLine="0"/>
            </w:pPr>
            <w:r>
              <w:rPr w:hint="eastAsia">
                <w:rFonts w:hint="eastAsia" w:ascii="Times New Roman" w:hAnsi="Times New Roman" w:eastAsia="宋体" w:cs="Times New Roman"/>
                <w:color w:val="000000"/>
                <w:sz w:val="15"/>
                <w:szCs w:val="16"/>
              </w:rPr>
              <w:t>磁路与损耗：磁密B、空载损耗P0、负载损耗Pk及短路阻抗Uk均落在当前页面给定范围。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1B886212">
            <w:pPr>
              <w:spacing w:before="0" w:after="0" w:line="240" w:lineRule="auto"/>
              <w:ind w:firstLine="0"/>
            </w:pPr>
            <w:r>
              <w:rPr w:hint="eastAsia">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7C94AD3B">
            <w:pPr>
              <w:spacing w:before="0" w:after="0" w:line="240" w:lineRule="auto"/>
              <w:ind w:firstLine="0"/>
              <w:jc w:val="left"/>
            </w:pPr>
            <w:r>
              <w:rPr w:hint="eastAsia">
                <w:rFonts w:ascii="Times New Roman" w:hAnsi="Times New Roman" w:eastAsia="宋体" w:cs="Times New Roman"/>
                <w:sz w:val="15"/>
              </w:rPr>
              <w:t>层数与结构依赖：低压箔材层数=匝数；低压扁线层数</w:t>
            </w:r>
            <w:r>
              <w:rPr w:hint="default">
                <w:rFonts w:ascii="Cambria Math" w:hAnsi="Cambria Math" w:eastAsia="Cambria Math" w:cs="Cambria Math"/>
                <w:sz w:val="15"/>
              </w:rPr>
              <w:t xml:space="preserve"> n_lv∈{2,4}</w:t>
            </w:r>
            <w:r>
              <w:rPr w:hint="eastAsia">
                <w:rFonts w:ascii="Times New Roman" w:hAnsi="Times New Roman" w:eastAsia="宋体" w:cs="Times New Roman"/>
                <w:sz w:val="15"/>
              </w:rPr>
              <w:t>；高压层数、油道均为页面许可档位。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3B83FAFB">
            <w:pPr>
              <w:spacing w:before="0" w:after="0" w:line="240" w:lineRule="auto"/>
              <w:ind w:firstLine="0"/>
            </w:pPr>
            <w:r>
              <w:rPr w:hint="eastAsia">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1D36AD33">
            <w:pPr>
              <w:spacing w:before="0" w:after="0" w:line="240" w:lineRule="auto"/>
              <w:ind w:firstLine="0"/>
            </w:pPr>
            <w:r>
              <w:rPr w:hint="eastAsia">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(5)</m:t>
          </m:r>
        </m:oMath>
      </m:oMathPara>
    </w:p>
    <w:p w14:paraId="5D820341">
      <w:pPr>
        <w:spacing w:before="0" w:after="0" w:line="276" w:lineRule="auto"/>
        <w:ind w:firstLine="360"/>
        <w:jc w:val="both"/>
      </w:pPr>
      <w:r>
        <w:rPr w:hint="eastAsia">
          <w:rFonts w:hint="eastAsia" w:ascii="Times New Roman" w:hAnsi="Times New Roman" w:eastAsia="宋体" w:cs="Times New Roman"/>
          <w:sz w:val="18"/>
        </w:rPr>
        <w:t>多样性采用四项指标：完整记录签名数、四模块唯一组合数、工作种群平均汉明距离和模块熵。完整记录签名由铁芯、低压、高压和冷却四个完整模块记录的联合编码构成；四模块唯一组合数统计当前种群中互不相同的四元组合。对于任意两个候选，分别比较铁芯、低压、高压和冷却四个模块：某模块的完整目录记录ID不同记为1，否则记为0，故汉明距离d_H的取值范围为[0,4]。平均汉明距离与模块熵由式（6）给出，其中p_m(v)为模块m取值v的频率。距离和熵只描述离散目录选择的多样性，不将目录外几何组合计入搜索空间。</w:t>
      </w:r>
    </w:p>
    <w:p w14:paraId="1431A989">
      <w:pPr>
        <w:spacing w:before="40" w:after="40" w:line="240" w:lineRule="auto"/>
        <w:jc w:val="center"/>
      </w:pPr>
      <m:oMathPara>
        <m:oMath>
          <m:sSub>
            <m:sSubPr/>
            <m:e>
              <m:r>
                <m:rPr/>
                <m:t>d</m:t>
              </m:r>
            </m:e>
            <m:sub>
              <m:r>
                <m:rPr/>
                <m:t>H</m:t>
              </m:r>
            </m:sub>
          </m:sSub>
          <m:r>
            <m:rPr/>
            <m:t xml:space="preserve">̄ = </m:t>
          </m:r>
          <m:f>
            <m:fPr/>
            <m:num>
              <m:r>
                <m:rPr/>
                <m:t>2∑d</m:t>
              </m:r>
            </m:num>
            <m:den>
              <m:r>
                <m:rPr/>
                <m:t>N(N−1)</m:t>
              </m:r>
            </m:den>
          </m:f>
          <m:r>
            <m:rPr/>
            <m:t xml:space="preserve">,  </m:t>
          </m:r>
          <m:sSub>
            <m:sSubPr/>
            <m:e>
              <m:r>
                <m:rPr/>
                <m:t>H</m:t>
              </m:r>
            </m:e>
            <m:sub>
              <m:r>
                <m:rPr/>
                <m:t>m</m:t>
              </m:r>
            </m:sub>
          </m:sSub>
          <m:r>
            <m:rPr/>
            <m:t xml:space="preserve"> = −∑ </m:t>
          </m:r>
          <m:sSub>
            <m:sSubPr/>
            <m:e>
              <m:r>
                <m:rPr/>
                <m:t>p</m:t>
              </m:r>
            </m:e>
            <m:sub>
              <m:r>
                <m:rPr/>
                <m:t>m</m:t>
              </m:r>
            </m:sub>
          </m:sSub>
          <m:r>
            <m:rPr/>
            <m:t xml:space="preserve">(v) log₂ </m:t>
          </m:r>
          <m:sSub>
            <m:sSubPr/>
            <m:e>
              <m:r>
                <m:rPr/>
                <m:t>p</m:t>
              </m:r>
            </m:e>
            <m:sub>
              <m:r>
                <m:rPr/>
                <m:t>m</m:t>
              </m:r>
            </m:sub>
          </m:sSub>
          <m:r>
            <m:rPr/>
            <m:t>(v)  (6)</m:t>
          </m:r>
        </m:oMath>
      </m:oMathPara>
    </w:p>
    <w:p w14:paraId="55B11FC7">
      <w:pPr>
        <w:keepNext/>
        <w:spacing w:before="40" w:after="20"/>
        <w:jc w:val="center"/>
      </w:pPr>
      <w:r>
        <w:rPr>
          <w:rFonts w:hint="eastAsia" w:ascii="Times New Roman" w:hAnsi="Times New Roman" w:eastAsia="宋体" w:cs="Times New Roman"/>
          <w:color w:val="000000"/>
        </w:rPr>
        <w:drawing>
          <wp:inline distT="0" distB="0" distL="114300" distR="114300">
            <wp:extent cx="2999105" cy="1800860"/>
            <wp:effectExtent l="0" t="0" r="0" b="4445"/>
            <wp:docPr id="3" name="Picture 3" descr="严格与近可行双档案的分流、父代选择、候选生成和沿底部绕行的精算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严格与近可行双档案的分流、父代选择、候选生成和沿底部绕行的精算反馈。"/>
                    <pic:cNvPicPr>
                      <a:picLocks noChangeAspect="1"/>
                    </pic:cNvPicPr>
                  </pic:nvPicPr>
                  <pic:blipFill>
                    <a:blip r:embed="rId13"/>
                    <a:stretch>
                      <a:fillRect/>
                    </a:stretch>
                  </pic:blipFill>
                  <pic:spPr>
                    <a:xfrm>
                      <a:off x="0" y="0"/>
                      <a:ext cx="2999232" cy="1801368"/>
                    </a:xfrm>
                    <a:prstGeom prst="rect">
                      <a:avLst/>
                    </a:prstGeom>
                  </pic:spPr>
                </pic:pic>
              </a:graphicData>
            </a:graphic>
          </wp:inline>
        </w:drawing>
      </w:r>
    </w:p>
    <w:p w14:paraId="2C335D7C">
      <w:pPr>
        <w:keepNext/>
        <w:keepLines/>
        <w:spacing w:before="40" w:after="20" w:line="240" w:lineRule="auto"/>
        <w:ind w:firstLine="0"/>
        <w:jc w:val="center"/>
        <w:rPr>
          <w:b w:val="0"/>
          <w:bCs/>
        </w:rPr>
      </w:pPr>
      <w:r>
        <w:rPr w:hint="eastAsia">
          <w:rFonts w:hint="eastAsia" w:ascii="Times New Roman" w:hAnsi="Times New Roman" w:eastAsia="宋体" w:cs="Times New Roman"/>
          <w:sz w:val="18"/>
          <w:szCs w:val="18"/>
        </w:rPr>
        <w:t>图3 严格-近可行双档案的分流、父代抽样与循环更新（严格档案用于优化器最终输出，近可行档案仅服务于边界搜索）</w:t>
      </w:r>
    </w:p>
    <w:p w14:paraId="6BB66B6F">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2.2 算法流程与复杂度</w:t>
      </w:r>
    </w:p>
    <w:p w14:paraId="15D4B57A">
      <w:pPr>
        <w:keepNext/>
        <w:spacing w:before="40" w:after="20" w:line="240" w:lineRule="auto"/>
        <w:ind w:firstLine="0"/>
        <w:jc w:val="center"/>
      </w:pPr>
      <w:r>
        <w:rPr w:hint="eastAsia">
          <w:rFonts w:hint="eastAsia" w:ascii="Times New Roman" w:hAnsi="Times New Roman" w:eastAsia="宋体" w:cs="Times New Roman"/>
          <w:b/>
          <w:i w:val="0"/>
          <w:color w:val="000000"/>
          <w:sz w:val="18"/>
          <w:szCs w:val="18"/>
        </w:rPr>
        <w:t>算法1 合法域构造与第0代生成</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20"/>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6A6AAE4E">
            <w:pPr>
              <w:spacing w:before="0" w:after="0" w:line="240" w:lineRule="auto"/>
              <w:ind w:left="0" w:firstLine="0"/>
            </w:pPr>
            <w:r>
              <w:rPr w:hint="eastAsia">
                <w:rFonts w:hint="eastAsia" w:ascii="Times New Roman" w:hAnsi="Times New Roman" w:eastAsia="宋体" w:cs="Times New Roman"/>
                <w:b/>
                <w:bCs/>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5D0CECDE">
            <w:pPr>
              <w:spacing w:before="0" w:after="0" w:line="240" w:lineRule="auto"/>
              <w:ind w:left="0" w:firstLine="0"/>
            </w:pPr>
            <w:r>
              <w:rPr w:hint="eastAsia">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56F11E21">
            <w:pPr>
              <w:spacing w:before="0" w:after="0" w:line="240" w:lineRule="auto"/>
              <w:ind w:left="0" w:firstLine="0"/>
            </w:pPr>
            <w:r>
              <w:rPr w:hint="eastAsia">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2B0CD01A">
            <w:pPr>
              <w:spacing w:before="0" w:after="0" w:line="240" w:lineRule="auto"/>
              <w:ind w:left="0" w:firstLine="0"/>
            </w:pPr>
            <w:r>
              <w:rPr w:hint="eastAsia">
                <w:rFonts w:hint="eastAsia" w:ascii="Times New Roman" w:hAnsi="Times New Roman" w:eastAsia="宋体" w:cs="Times New Roman"/>
                <w:color w:val="000000"/>
                <w:sz w:val="15"/>
                <w:szCs w:val="16"/>
              </w:rPr>
              <w:t>④ 双档案初始化：严格可行候选进入 A_f，近可行候选进入 A_n；独立截断后与其余可计算候选形成第 0 代工作种群。</w:t>
            </w:r>
          </w:p>
        </w:tc>
      </w:tr>
    </w:tbl>
    <w:p w14:paraId="7448A65E">
      <w:pPr>
        <w:keepNext/>
        <w:spacing w:before="40" w:after="20" w:line="240" w:lineRule="auto"/>
        <w:ind w:firstLine="0"/>
        <w:jc w:val="center"/>
      </w:pPr>
      <w:r>
        <w:rPr w:hint="eastAsia">
          <w:rFonts w:hint="eastAsia" w:ascii="Times New Roman" w:hAnsi="Times New Roman" w:eastAsia="宋体" w:cs="Times New Roman"/>
          <w:b/>
          <w:i w:val="0"/>
          <w:color w:val="000000"/>
          <w:sz w:val="18"/>
          <w:szCs w:val="18"/>
        </w:rPr>
        <w:t>算法2 单代演化与可选诊断探测</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20"/>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25953A48">
            <w:pPr>
              <w:spacing w:before="0" w:after="0" w:line="240" w:lineRule="auto"/>
              <w:ind w:left="0" w:firstLine="0"/>
            </w:pPr>
            <w:r>
              <w:rPr w:hint="eastAsia">
                <w:rFonts w:hint="eastAsia" w:ascii="Times New Roman" w:hAnsi="Times New Roman" w:eastAsia="宋体" w:cs="Times New Roman"/>
                <w:b/>
                <w:bCs/>
                <w:color w:val="000000"/>
                <w:sz w:val="15"/>
                <w:szCs w:val="16"/>
              </w:rPr>
              <w:t>① 父代选择与交叉：A_f 非空时，父代 A 从 A_f 进行规模为 3 的锦标赛选择；父代 B 以 0.30 概率从 A_n 选择，否则从 A_f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26A9E722">
            <w:pPr>
              <w:spacing w:before="0" w:after="0" w:line="240" w:lineRule="auto"/>
              <w:ind w:left="0" w:firstLine="0"/>
            </w:pPr>
            <w:r>
              <w:rPr w:hint="eastAsia">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4BCBFD82">
            <w:pPr>
              <w:spacing w:before="0" w:after="0" w:line="240" w:lineRule="auto"/>
              <w:ind w:left="0" w:firstLine="0"/>
            </w:pPr>
            <w:r>
              <w:rPr w:hint="eastAsia">
                <w:rFonts w:hint="eastAsia" w:ascii="Times New Roman" w:hAnsi="Times New Roman" w:eastAsia="宋体" w:cs="Times New Roman"/>
                <w:color w:val="000000"/>
                <w:sz w:val="15"/>
                <w:szCs w:val="16"/>
              </w:rPr>
              <w:t>③ 评价、注入与更新：未见候选才真实精算，缓存命中复用结果；随机注入优先从本次运行的运行内已评价候选池重组电磁块/冷却块，并更新 A_f、A_n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3A0967A">
            <w:pPr>
              <w:spacing w:before="0" w:after="0" w:line="240" w:lineRule="auto"/>
              <w:ind w:left="0" w:firstLine="0"/>
            </w:pPr>
            <w:r>
              <w:rPr w:hint="eastAsia">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     (7)</m:t>
          </m:r>
        </m:oMath>
      </m:oMathPara>
    </w:p>
    <w:p w14:paraId="5514C7F1">
      <w:pPr>
        <w:spacing w:before="20" w:after="0" w:line="240" w:lineRule="auto"/>
        <w:jc w:val="center"/>
      </w:pPr>
      <m:oMathPara>
        <m:oMath>
          <m:r>
            <m:rPr/>
            <m:t xml:space="preserve">O(N log N),  </m:t>
          </m:r>
          <m:sSub>
            <m:sSubPr/>
            <m:e>
              <m:r>
                <m:rPr/>
                <m:t>d</m:t>
              </m:r>
            </m:e>
            <m:sub>
              <m:r>
                <m:rPr/>
                <m:t>H</m:t>
              </m:r>
            </m:sub>
          </m:sSub>
          <m:r>
            <m:rPr/>
            <m:t>̄ 的直接计算为 O(N²)     (8)</m:t>
          </m:r>
        </m:oMath>
      </m:oMathPara>
    </w:p>
    <w:p w14:paraId="27F417FE">
      <w:pPr>
        <w:spacing w:before="0" w:after="0" w:line="276" w:lineRule="auto"/>
        <w:ind w:firstLine="360"/>
        <w:jc w:val="both"/>
      </w:pPr>
      <w:r>
        <w:rPr w:hint="eastAsia">
          <w:rFonts w:hint="eastAsia" w:ascii="Times New Roman" w:hAnsi="Times New Roman" w:eastAsia="宋体" w:cs="Times New Roman"/>
          <w:color w:val="000000"/>
          <w:sz w:val="18"/>
          <w:szCs w:val="18"/>
        </w:rPr>
        <w:t>设铁芯、低压绕组、高压绕组和冷却模块的候选规模分别为n_c、n_l、n_h和n_k，则完整笛卡儿域的理论规模为O(n_c×n_l×n_h×n_k)。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N)，其中N为本代可计算候选数；平均汉明距离的直接计算开销为O(N²)，但其仅用于离线轨迹统计，不参与父代选择或候选生成。实际运行时间主要由真实工程精算调用主导。</w:t>
      </w:r>
    </w:p>
    <w:p w14:paraId="75A30EDE">
      <w:pPr>
        <w:pStyle w:val="4"/>
        <w:keepNext/>
        <w:spacing w:before="80" w:after="40" w:line="276" w:lineRule="auto"/>
        <w:ind w:firstLine="0"/>
        <w:jc w:val="left"/>
        <w:rPr>
          <w:rFonts w:ascii="Times New Roman" w:hAnsi="Times New Roman" w:eastAsia="宋体" w:cs="Times New Roman"/>
          <w:b/>
          <w:i w:val="0"/>
          <w:color w:val="000000"/>
          <w:sz w:val="21"/>
          <w:szCs w:val="21"/>
        </w:rPr>
      </w:pPr>
      <w:r>
        <w:rPr w:hint="eastAsia">
          <w:rFonts w:hint="eastAsia" w:ascii="Times New Roman" w:hAnsi="Times New Roman" w:eastAsia="黑体" w:cs="Times New Roman"/>
          <w:b/>
          <w:i w:val="0"/>
          <w:color w:val="000000"/>
          <w:sz w:val="19"/>
          <w:szCs w:val="19"/>
        </w:rPr>
        <w:t>2.3 运行内已评价候选池、父代抽样与可选诊断反馈</w:t>
      </w:r>
    </w:p>
    <w:p w14:paraId="1F691D51">
      <w:pPr>
        <w:spacing w:after="0" w:line="276" w:lineRule="auto" w:before="0"/>
        <w:ind w:firstLine="360"/>
        <w:jc w:val="both"/>
      </w:pPr>
      <w:r>
        <w:rPr w:hint="eastAsia">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A_f中以三元锦标赛选取；父代B以0.30的固定概率从A_n中以同样规则选取，其余0.70概率从A_f与当前工作种群的并集选取。A_n因此既通过父代B向交叉提供近边界结构，也在诊断探测扩展策略中提供局部探测输入。若A_f为空而A_n非空，则父代A从A_n选取、父代B从A_n与工作种群并集选取；两档案均空时才完全退回工作种群。0.30为本文冻结的可复核运行参数，未将其作为经敏感性优化得到的结论。</w:t>
      </w:r>
    </w:p>
    <w:p w14:paraId="7CC61B66">
      <w:pPr>
        <w:spacing w:after="0" w:line="276" w:lineRule="auto" w:before="0"/>
        <w:ind w:firstLine="360"/>
        <w:jc w:val="both"/>
      </w:pPr>
      <w:r>
        <w:rPr w:hint="eastAsia">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e>
            <m:r>
              <m:rPr>
                <w:rFonts w:ascii="Cambria Math" w:hAnsi="Cambria Math"/>
              </m:rPr>
              <m:t>p</m:t>
            </m:r>
          </m:e>
          <m:sub>
            <m:r>
              <m:rPr>
                <w:rFonts w:ascii="Cambria Math" w:hAnsi="Cambria Math"/>
              </m:rPr>
              <m:t>single</m:t>
            </m:r>
          </m:sub>
        </m:sSub>
        <m:r>
          <m:rPr>
            <w:rFonts w:ascii="Cambria Math" w:hAnsi="Cambria Math"/>
          </m:rPr>
          <m:t>=0.75</m:t>
        </m:r>
      </m:oMath>
      <w:r>
        <w:rPr w:hint="eastAsia">
          <w:rFonts w:ascii="Times New Roman" w:hAnsi="Times New Roman" w:eastAsia="宋体" w:cs="Times New Roman"/>
          <w:sz w:val="18"/>
        </w:rPr>
        <w:t>，即整体替换结构和电磁耦合块或冷却块之一，双模块替换概率</w:t>
      </w:r>
      <m:oMath>
        <m:sSub>
          <m:e>
            <m:r>
              <m:rPr>
                <w:rFonts w:ascii="Cambria Math" w:hAnsi="Cambria Math"/>
              </m:rPr>
              <m:t>p</m:t>
            </m:r>
          </m:e>
          <m:sub>
            <m:r>
              <m:rPr>
                <w:rFonts w:ascii="Cambria Math" w:hAnsi="Cambria Math"/>
              </m:rPr>
              <m:t>double</m:t>
            </m:r>
          </m:sub>
        </m:sSub>
        <m:r>
          <m:rPr>
            <w:rFonts w:ascii="Cambria Math" w:hAnsi="Cambria Math"/>
          </m:rPr>
          <m:t>=0.25</m:t>
        </m:r>
      </m:oMath>
      <w:r>
        <w:rPr w:hint="eastAsia">
          <w:rFonts w:ascii="Times New Roman" w:hAnsi="Times New Roman" w:eastAsia="宋体" w:cs="Times New Roman"/>
          <w:sz w:val="18"/>
        </w:rPr>
        <w:t>，即同时替换这两个模块，再经合法化函数合法化后形成未见候选。</w:t>
      </w:r>
      <m:oMath>
        <m:sSub>
          <m:e>
            <m:r>
              <m:rPr>
                <w:rFonts w:ascii="Cambria Math" w:hAnsi="Cambria Math"/>
              </m:rPr>
              <m:t>p</m:t>
            </m:r>
          </m:e>
          <m:sub>
            <m:r>
              <m:rPr>
                <w:rFonts w:ascii="Cambria Math" w:hAnsi="Cambria Math"/>
              </m:rPr>
              <m:t>single</m:t>
            </m:r>
          </m:sub>
        </m:sSub>
      </m:oMath>
      <w:r>
        <w:rPr w:hint="eastAsia">
          <w:rFonts w:ascii="Times New Roman" w:hAnsi="Times New Roman" w:eastAsia="宋体" w:cs="Times New Roman"/>
          <w:sz w:val="18"/>
        </w:rPr>
        <w:t>与表5中的耦合交叉率</w:t>
      </w:r>
      <m:oMath>
        <m:sSub>
          <m:e>
            <m:r>
              <m:rPr>
                <w:rFonts w:ascii="Cambria Math" w:hAnsi="Cambria Math"/>
              </m:rPr>
              <m:t>p</m:t>
            </m:r>
          </m:e>
          <m:sub>
            <m:r>
              <m:rPr>
                <w:rFonts w:ascii="Cambria Math" w:hAnsi="Cambria Math"/>
              </m:rPr>
              <m:t>cross</m:t>
            </m:r>
          </m:sub>
        </m:sSub>
        <m:r>
          <m:rPr>
            <w:rFonts w:ascii="Cambria Math" w:hAnsi="Cambria Math"/>
          </m:rPr>
          <m:t>=0.75</m:t>
        </m:r>
      </m:oMath>
      <w:r>
        <w:rPr w:hint="eastAsia">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spacing w:after="0" w:line="276" w:lineRule="auto" w:before="0"/>
        <w:ind w:firstLine="360"/>
        <w:jc w:val="both"/>
      </w:pPr>
      <w:r>
        <w:rPr w:hint="eastAsia">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spacing w:before="80" w:after="40" w:line="276" w:lineRule="auto"/>
        <w:ind w:firstLine="0"/>
        <w:jc w:val="left"/>
      </w:pPr>
      <w:r>
        <w:rPr w:hint="eastAsia">
          <w:rFonts w:hint="eastAsia" w:ascii="Times New Roman" w:hAnsi="Times New Roman" w:eastAsia="黑体" w:cs="Times New Roman"/>
          <w:b/>
          <w:color w:val="000000"/>
          <w:sz w:val="19"/>
          <w:szCs w:val="19"/>
        </w:rPr>
        <w:t>2.4 BGA与MGA对照设定及与Deb规则的关系</w:t>
      </w:r>
    </w:p>
    <w:p w14:paraId="08CB6E19">
      <w:pPr>
        <w:spacing w:before="0" w:after="0" w:line="276" w:lineRule="auto"/>
        <w:ind w:firstLine="360"/>
        <w:jc w:val="both"/>
      </w:pPr>
      <w:r>
        <w:rPr w:hint="eastAsia">
          <w:rFonts w:ascii="Times New Roman" w:hAnsi="Times New Roman" w:eastAsia="宋体" w:cs="Times New Roman"/>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3 实验设置</w:t>
      </w:r>
    </w:p>
    <w:p w14:paraId="2C9D637C">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3.1 实验场景</w:t>
      </w:r>
    </w:p>
    <w:p w14:paraId="415F9B3A">
      <w:pPr>
        <w:spacing w:before="0" w:after="0" w:line="276" w:lineRule="auto"/>
        <w:ind w:firstLine="360"/>
        <w:jc w:val="both"/>
      </w:pPr>
      <w:r>
        <w:rPr>
          <w:rFonts w:ascii="Times New Roman" w:hAnsi="Times New Roman" w:eastAsia="宋体" w:cs="Times New Roman"/>
          <w:sz w:val="18"/>
        </w:rPr>
        <w:t>表4列出五个预定义主比较场景的实际业务系统冻结配置快照。表中的第0代精算数是本次覆盖、历史和随机候选去重后实际调用精算器的数量；工作种群规模N按当前实现由确定。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表4 五个预定义主比较场景与搜索预算</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320"/>
        <w:gridCol w:w="750"/>
        <w:gridCol w:w="760"/>
        <w:gridCol w:w="95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60" w:type="dxa"/>
            <w:shd w:val="clear" w:color="auto" w:fill="D9EAF7"/>
            <w:tcMar>
              <w:top w:w="35" w:type="dxa"/>
              <w:left w:w="45" w:type="dxa"/>
              <w:bottom w:w="35" w:type="dxa"/>
              <w:right w:w="45" w:type="dxa"/>
            </w:tcMar>
            <w:vAlign w:val="center"/>
          </w:tcPr>
          <w:p w14:paraId="7F24CA36">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1320" w:type="dxa"/>
            <w:shd w:val="clear" w:color="auto" w:fill="D9EAF7"/>
            <w:tcMar>
              <w:top w:w="35" w:type="dxa"/>
              <w:left w:w="45" w:type="dxa"/>
              <w:bottom w:w="35" w:type="dxa"/>
              <w:right w:w="45" w:type="dxa"/>
            </w:tcMar>
            <w:vAlign w:val="center"/>
          </w:tcPr>
          <w:p w14:paraId="7F24CA38">
            <w:pPr>
              <w:spacing w:before="0" w:after="0" w:line="240" w:lineRule="auto"/>
              <w:ind w:firstLine="0"/>
              <w:jc w:val="center"/>
            </w:pPr>
            <w:r>
              <w:rPr w:hint="eastAsia">
                <w:rFonts w:hint="eastAsia" w:ascii="Times New Roman" w:hAnsi="Times New Roman" w:eastAsia="宋体" w:cs="Times New Roman"/>
                <w:b/>
                <w:sz w:val="15"/>
                <w:szCs w:val="16"/>
              </w:rPr>
              <w:t>容量与结构</w:t>
            </w:r>
          </w:p>
        </w:tc>
        <w:tc>
          <w:tcPr>
            <w:tcW w:w="750" w:type="dxa"/>
            <w:shd w:val="clear" w:color="auto" w:fill="D9EAF7"/>
            <w:tcMar>
              <w:top w:w="35" w:type="dxa"/>
              <w:left w:w="45" w:type="dxa"/>
              <w:bottom w:w="35" w:type="dxa"/>
              <w:right w:w="45" w:type="dxa"/>
            </w:tcMar>
            <w:vAlign w:val="center"/>
          </w:tcPr>
          <w:p w14:paraId="7F24CA3A">
            <w:pPr>
              <w:spacing w:before="0" w:after="0" w:line="240" w:lineRule="auto"/>
              <w:ind w:firstLine="0"/>
              <w:jc w:val="center"/>
            </w:pPr>
            <w:r>
              <w:rPr w:hint="eastAsia">
                <w:rFonts w:hint="eastAsia" w:ascii="Times New Roman" w:hAnsi="Times New Roman" w:eastAsia="宋体" w:cs="Times New Roman"/>
                <w:b/>
                <w:sz w:val="15"/>
                <w:szCs w:val="16"/>
              </w:rPr>
              <w:t>低压/高压类别</w:t>
            </w:r>
          </w:p>
        </w:tc>
        <w:tc>
          <w:tcPr>
            <w:tcW w:w="760" w:type="dxa"/>
            <w:shd w:val="clear" w:color="auto" w:fill="D9EAF7"/>
            <w:tcMar>
              <w:top w:w="35" w:type="dxa"/>
              <w:left w:w="45" w:type="dxa"/>
              <w:bottom w:w="35" w:type="dxa"/>
              <w:right w:w="45" w:type="dxa"/>
            </w:tcMar>
            <w:vAlign w:val="center"/>
          </w:tcPr>
          <w:p w14:paraId="7F24CA3C">
            <w:pPr>
              <w:spacing w:before="0" w:after="0" w:line="240" w:lineRule="auto"/>
              <w:ind w:firstLine="0"/>
              <w:jc w:val="center"/>
            </w:pPr>
            <w:r>
              <w:rPr w:hint="eastAsia">
                <w:rFonts w:hint="eastAsia" w:ascii="Times New Roman" w:hAnsi="Times New Roman" w:eastAsia="宋体" w:cs="Times New Roman"/>
                <w:b/>
                <w:sz w:val="15"/>
                <w:szCs w:val="16"/>
              </w:rPr>
              <w:t>第0代精算 N0（次）</w:t>
            </w:r>
          </w:p>
        </w:tc>
        <w:tc>
          <w:tcPr>
            <w:tcW w:w="950" w:type="dxa"/>
            <w:shd w:val="clear" w:color="auto" w:fill="D9EAF7"/>
            <w:tcMar>
              <w:top w:w="35" w:type="dxa"/>
              <w:left w:w="45" w:type="dxa"/>
              <w:bottom w:w="35" w:type="dxa"/>
              <w:right w:w="45" w:type="dxa"/>
            </w:tcMar>
            <w:vAlign w:val="center"/>
          </w:tcPr>
          <w:p w14:paraId="7F24CA3E">
            <w:pPr>
              <w:spacing w:before="0" w:after="0" w:line="240" w:lineRule="auto"/>
              <w:ind w:firstLine="0"/>
              <w:jc w:val="center"/>
            </w:pPr>
            <w:r>
              <w:rPr w:hint="eastAsia">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FFFFF"/>
            <w:tcMar>
              <w:top w:w="35" w:type="dxa"/>
              <w:left w:w="45" w:type="dxa"/>
              <w:bottom w:w="35" w:type="dxa"/>
              <w:right w:w="45" w:type="dxa"/>
            </w:tcMar>
            <w:vAlign w:val="center"/>
          </w:tcPr>
          <w:p w14:paraId="7F24CA40">
            <w:pPr>
              <w:spacing w:before="0" w:after="0" w:line="240" w:lineRule="auto"/>
              <w:ind w:firstLine="0"/>
              <w:jc w:val="center"/>
            </w:pPr>
            <w:r>
              <w:rPr w:hint="eastAsia">
                <w:rFonts w:hint="eastAsia" w:ascii="Times New Roman" w:hAnsi="Times New Roman" w:eastAsia="宋体" w:cs="Times New Roman"/>
                <w:sz w:val="15"/>
                <w:szCs w:val="16"/>
              </w:rPr>
              <w:t>A</w:t>
            </w:r>
          </w:p>
        </w:tc>
        <w:tc>
          <w:tcPr>
            <w:tcW w:w="1320" w:type="dxa"/>
            <w:shd w:val="clear" w:color="auto" w:fill="FFFFFF"/>
            <w:tcMar>
              <w:top w:w="35" w:type="dxa"/>
              <w:left w:w="45" w:type="dxa"/>
              <w:bottom w:w="35" w:type="dxa"/>
              <w:right w:w="45" w:type="dxa"/>
            </w:tcMar>
            <w:vAlign w:val="center"/>
          </w:tcPr>
          <w:p w14:paraId="7F24CA42">
            <w:pPr>
              <w:spacing w:before="0" w:after="0" w:line="240" w:lineRule="auto"/>
              <w:ind w:firstLine="0"/>
              <w:jc w:val="center"/>
            </w:pPr>
            <w:r>
              <w:rPr w:hint="eastAsia">
                <w:rFonts w:hint="eastAsia" w:ascii="Times New Roman" w:hAnsi="Times New Roman" w:eastAsia="宋体" w:cs="Times New Roman"/>
                <w:sz w:val="15"/>
                <w:szCs w:val="16"/>
              </w:rPr>
              <w:t>50 kVA 圆形-波纹</w:t>
            </w:r>
          </w:p>
        </w:tc>
        <w:tc>
          <w:tcPr>
            <w:tcW w:w="750" w:type="dxa"/>
            <w:shd w:val="clear" w:color="auto" w:fill="FFFFFF"/>
            <w:tcMar>
              <w:top w:w="35" w:type="dxa"/>
              <w:left w:w="45" w:type="dxa"/>
              <w:bottom w:w="35" w:type="dxa"/>
              <w:right w:w="45" w:type="dxa"/>
            </w:tcMar>
            <w:vAlign w:val="center"/>
          </w:tcPr>
          <w:p w14:paraId="7F24CA44">
            <w:pPr>
              <w:spacing w:before="0" w:after="0" w:line="240" w:lineRule="auto"/>
              <w:ind w:firstLine="0"/>
              <w:jc w:val="center"/>
            </w:pPr>
            <w:r>
              <w:rPr w:hint="eastAsia">
                <w:rFonts w:hint="eastAsia" w:ascii="Times New Roman" w:hAnsi="Times New Roman" w:eastAsia="宋体" w:cs="Times New Roman"/>
                <w:sz w:val="15"/>
                <w:szCs w:val="16"/>
              </w:rPr>
              <w:t>2 / 2</w:t>
            </w:r>
          </w:p>
        </w:tc>
        <w:tc>
          <w:tcPr>
            <w:tcW w:w="760" w:type="dxa"/>
            <w:shd w:val="clear" w:color="auto" w:fill="FFFFFF"/>
            <w:tcMar>
              <w:top w:w="35" w:type="dxa"/>
              <w:left w:w="45" w:type="dxa"/>
              <w:bottom w:w="35" w:type="dxa"/>
              <w:right w:w="45" w:type="dxa"/>
            </w:tcMar>
            <w:vAlign w:val="center"/>
          </w:tcPr>
          <w:p w14:paraId="7F24CA46">
            <w:pPr>
              <w:spacing w:before="0" w:after="0" w:line="240" w:lineRule="auto"/>
              <w:ind w:firstLine="0"/>
              <w:jc w:val="center"/>
            </w:pPr>
            <w:r>
              <w:rPr w:hint="eastAsia">
                <w:rFonts w:hint="eastAsia" w:ascii="Times New Roman" w:hAnsi="Times New Roman" w:eastAsia="宋体" w:cs="Times New Roman"/>
                <w:sz w:val="15"/>
                <w:szCs w:val="16"/>
              </w:rPr>
              <w:t>3 335</w:t>
            </w:r>
          </w:p>
        </w:tc>
        <w:tc>
          <w:tcPr>
            <w:tcW w:w="950" w:type="dxa"/>
            <w:shd w:val="clear" w:color="auto" w:fill="FFFFFF"/>
            <w:tcMar>
              <w:top w:w="35" w:type="dxa"/>
              <w:left w:w="45" w:type="dxa"/>
              <w:bottom w:w="35" w:type="dxa"/>
              <w:right w:w="45" w:type="dxa"/>
            </w:tcMar>
            <w:vAlign w:val="center"/>
          </w:tcPr>
          <w:p w14:paraId="7F24CA48">
            <w:pPr>
              <w:spacing w:before="0" w:after="0" w:line="240" w:lineRule="auto"/>
              <w:ind w:firstLine="0"/>
              <w:jc w:val="center"/>
            </w:pPr>
            <w:r>
              <w:rPr w:hint="eastAsia">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5F8FA"/>
            <w:tcMar>
              <w:top w:w="35" w:type="dxa"/>
              <w:left w:w="45" w:type="dxa"/>
              <w:bottom w:w="35" w:type="dxa"/>
              <w:right w:w="45" w:type="dxa"/>
            </w:tcMar>
            <w:vAlign w:val="center"/>
          </w:tcPr>
          <w:p w14:paraId="7F24CA4A">
            <w:pPr>
              <w:spacing w:before="0" w:after="0" w:line="240" w:lineRule="auto"/>
              <w:ind w:firstLine="0"/>
              <w:jc w:val="center"/>
            </w:pPr>
            <w:r>
              <w:rPr w:hint="eastAsia">
                <w:rFonts w:hint="eastAsia" w:ascii="Times New Roman" w:hAnsi="Times New Roman" w:eastAsia="宋体" w:cs="Times New Roman"/>
                <w:sz w:val="15"/>
                <w:szCs w:val="16"/>
              </w:rPr>
              <w:t>B</w:t>
            </w:r>
          </w:p>
        </w:tc>
        <w:tc>
          <w:tcPr>
            <w:tcW w:w="1320" w:type="dxa"/>
            <w:shd w:val="clear" w:color="auto" w:fill="F5F8FA"/>
            <w:tcMar>
              <w:top w:w="35" w:type="dxa"/>
              <w:left w:w="45" w:type="dxa"/>
              <w:bottom w:w="35" w:type="dxa"/>
              <w:right w:w="45" w:type="dxa"/>
            </w:tcMar>
            <w:vAlign w:val="center"/>
          </w:tcPr>
          <w:p w14:paraId="7F24CA4C">
            <w:pPr>
              <w:spacing w:before="0" w:after="0" w:line="240" w:lineRule="auto"/>
              <w:ind w:firstLine="0"/>
              <w:jc w:val="center"/>
            </w:pPr>
            <w:r>
              <w:rPr w:hint="eastAsia">
                <w:rFonts w:hint="eastAsia" w:ascii="Times New Roman" w:hAnsi="Times New Roman" w:eastAsia="宋体" w:cs="Times New Roman"/>
                <w:sz w:val="15"/>
                <w:szCs w:val="16"/>
              </w:rPr>
              <w:t>100 kVA 长圆-波纹</w:t>
            </w:r>
          </w:p>
        </w:tc>
        <w:tc>
          <w:tcPr>
            <w:tcW w:w="750" w:type="dxa"/>
            <w:shd w:val="clear" w:color="auto" w:fill="F5F8FA"/>
            <w:tcMar>
              <w:top w:w="35" w:type="dxa"/>
              <w:left w:w="45" w:type="dxa"/>
              <w:bottom w:w="35" w:type="dxa"/>
              <w:right w:w="45" w:type="dxa"/>
            </w:tcMar>
            <w:vAlign w:val="center"/>
          </w:tcPr>
          <w:p w14:paraId="7F24CA4E">
            <w:pPr>
              <w:spacing w:before="0" w:after="0" w:line="240" w:lineRule="auto"/>
              <w:ind w:firstLine="0"/>
              <w:jc w:val="center"/>
            </w:pPr>
            <w:r>
              <w:rPr w:hint="eastAsia">
                <w:rFonts w:hint="eastAsia" w:ascii="Times New Roman" w:hAnsi="Times New Roman" w:eastAsia="宋体" w:cs="Times New Roman"/>
                <w:sz w:val="15"/>
                <w:szCs w:val="16"/>
              </w:rPr>
              <w:t>1 / 1</w:t>
            </w:r>
          </w:p>
        </w:tc>
        <w:tc>
          <w:tcPr>
            <w:tcW w:w="760" w:type="dxa"/>
            <w:shd w:val="clear" w:color="auto" w:fill="F5F8FA"/>
            <w:tcMar>
              <w:top w:w="35" w:type="dxa"/>
              <w:left w:w="45" w:type="dxa"/>
              <w:bottom w:w="35" w:type="dxa"/>
              <w:right w:w="45" w:type="dxa"/>
            </w:tcMar>
            <w:vAlign w:val="center"/>
          </w:tcPr>
          <w:p w14:paraId="7F24CA50">
            <w:pPr>
              <w:spacing w:before="0" w:after="0" w:line="240" w:lineRule="auto"/>
              <w:ind w:firstLine="0"/>
              <w:jc w:val="center"/>
            </w:pPr>
            <w:r>
              <w:rPr w:hint="eastAsia">
                <w:rFonts w:hint="eastAsia" w:ascii="Times New Roman" w:hAnsi="Times New Roman" w:eastAsia="宋体" w:cs="Times New Roman"/>
                <w:sz w:val="15"/>
                <w:szCs w:val="16"/>
              </w:rPr>
              <w:t>2 825</w:t>
            </w:r>
          </w:p>
        </w:tc>
        <w:tc>
          <w:tcPr>
            <w:tcW w:w="950" w:type="dxa"/>
            <w:shd w:val="clear" w:color="auto" w:fill="F5F8FA"/>
            <w:tcMar>
              <w:top w:w="35" w:type="dxa"/>
              <w:left w:w="45" w:type="dxa"/>
              <w:bottom w:w="35" w:type="dxa"/>
              <w:right w:w="45" w:type="dxa"/>
            </w:tcMar>
            <w:vAlign w:val="center"/>
          </w:tcPr>
          <w:p w14:paraId="7F24CA52">
            <w:pPr>
              <w:spacing w:before="0" w:after="0" w:line="240" w:lineRule="auto"/>
              <w:ind w:firstLine="0"/>
              <w:jc w:val="center"/>
            </w:pPr>
            <w:r>
              <w:rPr w:hint="eastAsia">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FFFFF"/>
            <w:tcMar>
              <w:top w:w="35" w:type="dxa"/>
              <w:left w:w="45" w:type="dxa"/>
              <w:bottom w:w="35" w:type="dxa"/>
              <w:right w:w="45" w:type="dxa"/>
            </w:tcMar>
            <w:vAlign w:val="center"/>
          </w:tcPr>
          <w:p w14:paraId="7F24CA54">
            <w:pPr>
              <w:spacing w:before="0" w:after="0" w:line="240" w:lineRule="auto"/>
              <w:ind w:firstLine="0"/>
              <w:jc w:val="center"/>
            </w:pPr>
            <w:r>
              <w:rPr w:hint="eastAsia">
                <w:rFonts w:hint="eastAsia" w:ascii="Times New Roman" w:hAnsi="Times New Roman" w:eastAsia="宋体" w:cs="Times New Roman"/>
                <w:sz w:val="15"/>
                <w:szCs w:val="16"/>
              </w:rPr>
              <w:t>C</w:t>
            </w:r>
          </w:p>
        </w:tc>
        <w:tc>
          <w:tcPr>
            <w:tcW w:w="1320" w:type="dxa"/>
            <w:shd w:val="clear" w:color="auto" w:fill="FFFFFF"/>
            <w:tcMar>
              <w:top w:w="35" w:type="dxa"/>
              <w:left w:w="45" w:type="dxa"/>
              <w:bottom w:w="35" w:type="dxa"/>
              <w:right w:w="45" w:type="dxa"/>
            </w:tcMar>
            <w:vAlign w:val="center"/>
          </w:tcPr>
          <w:p w14:paraId="7F24CA56">
            <w:pPr>
              <w:spacing w:before="0" w:after="0" w:line="240" w:lineRule="auto"/>
              <w:ind w:firstLine="0"/>
              <w:jc w:val="center"/>
            </w:pPr>
            <w:r>
              <w:rPr w:hint="eastAsia">
                <w:rFonts w:hint="eastAsia" w:ascii="Times New Roman" w:hAnsi="Times New Roman" w:eastAsia="宋体" w:cs="Times New Roman"/>
                <w:sz w:val="15"/>
                <w:szCs w:val="16"/>
              </w:rPr>
              <w:t>300 kVA 长圆-波纹</w:t>
            </w:r>
          </w:p>
        </w:tc>
        <w:tc>
          <w:tcPr>
            <w:tcW w:w="750" w:type="dxa"/>
            <w:shd w:val="clear" w:color="auto" w:fill="FFFFFF"/>
            <w:tcMar>
              <w:top w:w="35" w:type="dxa"/>
              <w:left w:w="45" w:type="dxa"/>
              <w:bottom w:w="35" w:type="dxa"/>
              <w:right w:w="45" w:type="dxa"/>
            </w:tcMar>
            <w:vAlign w:val="center"/>
          </w:tcPr>
          <w:p w14:paraId="7F24CA58">
            <w:pPr>
              <w:spacing w:before="0" w:after="0" w:line="240" w:lineRule="auto"/>
              <w:ind w:firstLine="0"/>
              <w:jc w:val="center"/>
            </w:pPr>
            <w:r>
              <w:rPr w:hint="eastAsia">
                <w:rFonts w:hint="eastAsia" w:ascii="Times New Roman" w:hAnsi="Times New Roman" w:eastAsia="宋体" w:cs="Times New Roman"/>
                <w:sz w:val="15"/>
                <w:szCs w:val="16"/>
              </w:rPr>
              <w:t>1 / 1</w:t>
            </w:r>
          </w:p>
        </w:tc>
        <w:tc>
          <w:tcPr>
            <w:tcW w:w="760" w:type="dxa"/>
            <w:shd w:val="clear" w:color="auto" w:fill="FFFFFF"/>
            <w:tcMar>
              <w:top w:w="35" w:type="dxa"/>
              <w:left w:w="45" w:type="dxa"/>
              <w:bottom w:w="35" w:type="dxa"/>
              <w:right w:w="45" w:type="dxa"/>
            </w:tcMar>
            <w:vAlign w:val="center"/>
          </w:tcPr>
          <w:p w14:paraId="7F24CA5A">
            <w:pPr>
              <w:spacing w:before="0" w:after="0" w:line="240" w:lineRule="auto"/>
              <w:ind w:firstLine="0"/>
              <w:jc w:val="center"/>
            </w:pPr>
            <w:r>
              <w:rPr w:hint="eastAsia">
                <w:rFonts w:hint="eastAsia" w:ascii="Times New Roman" w:hAnsi="Times New Roman" w:eastAsia="宋体" w:cs="Times New Roman"/>
                <w:sz w:val="15"/>
                <w:szCs w:val="16"/>
              </w:rPr>
              <w:t>12 303</w:t>
            </w:r>
          </w:p>
        </w:tc>
        <w:tc>
          <w:tcPr>
            <w:tcW w:w="950" w:type="dxa"/>
            <w:shd w:val="clear" w:color="auto" w:fill="FFFFFF"/>
            <w:tcMar>
              <w:top w:w="35" w:type="dxa"/>
              <w:left w:w="45" w:type="dxa"/>
              <w:bottom w:w="35" w:type="dxa"/>
              <w:right w:w="45" w:type="dxa"/>
            </w:tcMar>
            <w:vAlign w:val="center"/>
          </w:tcPr>
          <w:p w14:paraId="7F24CA5C">
            <w:pPr>
              <w:spacing w:before="0" w:after="0" w:line="240" w:lineRule="auto"/>
              <w:ind w:firstLine="0"/>
              <w:jc w:val="center"/>
            </w:pPr>
            <w:r>
              <w:rPr w:hint="eastAsia">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5F8FA"/>
            <w:tcMar>
              <w:top w:w="35" w:type="dxa"/>
              <w:left w:w="45" w:type="dxa"/>
              <w:bottom w:w="35" w:type="dxa"/>
              <w:right w:w="45" w:type="dxa"/>
            </w:tcMar>
            <w:vAlign w:val="center"/>
          </w:tcPr>
          <w:p w14:paraId="7F24CA5E">
            <w:pPr>
              <w:spacing w:before="0" w:after="0" w:line="240" w:lineRule="auto"/>
              <w:ind w:firstLine="0"/>
              <w:jc w:val="center"/>
            </w:pPr>
            <w:r>
              <w:rPr w:hint="eastAsia">
                <w:rFonts w:hint="eastAsia" w:ascii="Times New Roman" w:hAnsi="Times New Roman" w:eastAsia="宋体" w:cs="Times New Roman"/>
                <w:sz w:val="15"/>
                <w:szCs w:val="16"/>
              </w:rPr>
              <w:t>D</w:t>
            </w:r>
          </w:p>
        </w:tc>
        <w:tc>
          <w:tcPr>
            <w:tcW w:w="1320" w:type="dxa"/>
            <w:shd w:val="clear" w:color="auto" w:fill="F5F8FA"/>
            <w:tcMar>
              <w:top w:w="35" w:type="dxa"/>
              <w:left w:w="45" w:type="dxa"/>
              <w:bottom w:w="35" w:type="dxa"/>
              <w:right w:w="45" w:type="dxa"/>
            </w:tcMar>
            <w:vAlign w:val="center"/>
          </w:tcPr>
          <w:p w14:paraId="7F24CA60">
            <w:pPr>
              <w:spacing w:before="0" w:after="0" w:line="240" w:lineRule="auto"/>
              <w:ind w:firstLine="0"/>
              <w:jc w:val="center"/>
            </w:pPr>
            <w:r>
              <w:rPr w:hint="eastAsia">
                <w:rFonts w:hint="eastAsia" w:ascii="Times New Roman" w:hAnsi="Times New Roman" w:eastAsia="宋体" w:cs="Times New Roman"/>
                <w:sz w:val="15"/>
                <w:szCs w:val="16"/>
              </w:rPr>
              <w:t>2 000 kVA 长圆-散热器（甲）</w:t>
            </w:r>
          </w:p>
        </w:tc>
        <w:tc>
          <w:tcPr>
            <w:tcW w:w="750" w:type="dxa"/>
            <w:shd w:val="clear" w:color="auto" w:fill="F5F8FA"/>
            <w:tcMar>
              <w:top w:w="35" w:type="dxa"/>
              <w:left w:w="45" w:type="dxa"/>
              <w:bottom w:w="35" w:type="dxa"/>
              <w:right w:w="45" w:type="dxa"/>
            </w:tcMar>
            <w:vAlign w:val="center"/>
          </w:tcPr>
          <w:p w14:paraId="7F24CA62">
            <w:pPr>
              <w:spacing w:before="0" w:after="0" w:line="240" w:lineRule="auto"/>
              <w:ind w:firstLine="0"/>
              <w:jc w:val="center"/>
            </w:pPr>
            <w:r>
              <w:rPr w:hint="eastAsia">
                <w:rFonts w:hint="eastAsia" w:ascii="Times New Roman" w:hAnsi="Times New Roman" w:eastAsia="宋体" w:cs="Times New Roman"/>
                <w:sz w:val="15"/>
                <w:szCs w:val="16"/>
              </w:rPr>
              <w:t>2 / 2</w:t>
            </w:r>
          </w:p>
        </w:tc>
        <w:tc>
          <w:tcPr>
            <w:tcW w:w="760" w:type="dxa"/>
            <w:shd w:val="clear" w:color="auto" w:fill="F5F8FA"/>
            <w:tcMar>
              <w:top w:w="35" w:type="dxa"/>
              <w:left w:w="45" w:type="dxa"/>
              <w:bottom w:w="35" w:type="dxa"/>
              <w:right w:w="45" w:type="dxa"/>
            </w:tcMar>
            <w:vAlign w:val="center"/>
          </w:tcPr>
          <w:p w14:paraId="7F24CA64">
            <w:pPr>
              <w:spacing w:before="0" w:after="0" w:line="240" w:lineRule="auto"/>
              <w:ind w:firstLine="0"/>
              <w:jc w:val="center"/>
            </w:pPr>
            <w:r>
              <w:rPr w:hint="eastAsia">
                <w:rFonts w:hint="eastAsia" w:ascii="Times New Roman" w:hAnsi="Times New Roman" w:eastAsia="宋体" w:cs="Times New Roman"/>
                <w:sz w:val="15"/>
                <w:szCs w:val="16"/>
              </w:rPr>
              <w:t>15 492</w:t>
            </w:r>
          </w:p>
        </w:tc>
        <w:tc>
          <w:tcPr>
            <w:tcW w:w="950" w:type="dxa"/>
            <w:shd w:val="clear" w:color="auto" w:fill="F5F8FA"/>
            <w:tcMar>
              <w:top w:w="35" w:type="dxa"/>
              <w:left w:w="45" w:type="dxa"/>
              <w:bottom w:w="35" w:type="dxa"/>
              <w:right w:w="45" w:type="dxa"/>
            </w:tcMar>
            <w:vAlign w:val="center"/>
          </w:tcPr>
          <w:p w14:paraId="7F24CA66">
            <w:pPr>
              <w:spacing w:before="0" w:after="0" w:line="240" w:lineRule="auto"/>
              <w:ind w:firstLine="0"/>
              <w:jc w:val="center"/>
            </w:pPr>
            <w:r>
              <w:rPr w:hint="eastAsia">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FFFFF"/>
            <w:tcMar>
              <w:top w:w="35" w:type="dxa"/>
              <w:left w:w="45" w:type="dxa"/>
              <w:bottom w:w="35" w:type="dxa"/>
              <w:right w:w="45" w:type="dxa"/>
            </w:tcMar>
            <w:vAlign w:val="center"/>
          </w:tcPr>
          <w:p w14:paraId="7F24CA68">
            <w:pPr>
              <w:spacing w:before="0" w:after="0" w:line="240" w:lineRule="auto"/>
              <w:ind w:firstLine="0"/>
              <w:jc w:val="center"/>
            </w:pPr>
            <w:r>
              <w:rPr w:hint="eastAsia">
                <w:rFonts w:hint="eastAsia" w:ascii="Times New Roman" w:hAnsi="Times New Roman" w:eastAsia="宋体" w:cs="Times New Roman"/>
                <w:sz w:val="15"/>
                <w:szCs w:val="16"/>
              </w:rPr>
              <w:t>E</w:t>
            </w:r>
          </w:p>
        </w:tc>
        <w:tc>
          <w:tcPr>
            <w:tcW w:w="1320" w:type="dxa"/>
            <w:shd w:val="clear" w:color="auto" w:fill="FFFFFF"/>
            <w:tcMar>
              <w:top w:w="35" w:type="dxa"/>
              <w:left w:w="45" w:type="dxa"/>
              <w:bottom w:w="35" w:type="dxa"/>
              <w:right w:w="45" w:type="dxa"/>
            </w:tcMar>
            <w:vAlign w:val="center"/>
          </w:tcPr>
          <w:p w14:paraId="7F24CA6A">
            <w:pPr>
              <w:spacing w:before="0" w:after="0" w:line="240" w:lineRule="auto"/>
              <w:ind w:firstLine="0"/>
              <w:jc w:val="center"/>
            </w:pPr>
            <w:r>
              <w:rPr w:hint="eastAsia">
                <w:rFonts w:hint="eastAsia" w:ascii="Times New Roman" w:hAnsi="Times New Roman" w:eastAsia="宋体" w:cs="Times New Roman"/>
                <w:sz w:val="15"/>
                <w:szCs w:val="16"/>
              </w:rPr>
              <w:t>2 000 kVA 长圆-散热器（乙）</w:t>
            </w:r>
          </w:p>
        </w:tc>
        <w:tc>
          <w:tcPr>
            <w:tcW w:w="750" w:type="dxa"/>
            <w:shd w:val="clear" w:color="auto" w:fill="FFFFFF"/>
            <w:tcMar>
              <w:top w:w="35" w:type="dxa"/>
              <w:left w:w="45" w:type="dxa"/>
              <w:bottom w:w="35" w:type="dxa"/>
              <w:right w:w="45" w:type="dxa"/>
            </w:tcMar>
            <w:vAlign w:val="center"/>
          </w:tcPr>
          <w:p w14:paraId="7F24CA6C">
            <w:pPr>
              <w:spacing w:before="0" w:after="0" w:line="240" w:lineRule="auto"/>
              <w:ind w:firstLine="0"/>
              <w:jc w:val="center"/>
            </w:pPr>
            <w:r>
              <w:rPr w:hint="eastAsia">
                <w:rFonts w:hint="eastAsia" w:ascii="Times New Roman" w:hAnsi="Times New Roman" w:eastAsia="宋体" w:cs="Times New Roman"/>
                <w:sz w:val="15"/>
                <w:szCs w:val="16"/>
              </w:rPr>
              <w:t>2 / 2</w:t>
            </w:r>
          </w:p>
        </w:tc>
        <w:tc>
          <w:tcPr>
            <w:tcW w:w="760" w:type="dxa"/>
            <w:shd w:val="clear" w:color="auto" w:fill="FFFFFF"/>
            <w:tcMar>
              <w:top w:w="35" w:type="dxa"/>
              <w:left w:w="45" w:type="dxa"/>
              <w:bottom w:w="35" w:type="dxa"/>
              <w:right w:w="45" w:type="dxa"/>
            </w:tcMar>
            <w:vAlign w:val="center"/>
          </w:tcPr>
          <w:p w14:paraId="7F24CA6E">
            <w:pPr>
              <w:spacing w:before="0" w:after="0" w:line="240" w:lineRule="auto"/>
              <w:ind w:firstLine="0"/>
              <w:jc w:val="center"/>
            </w:pPr>
            <w:r>
              <w:rPr w:hint="eastAsia">
                <w:rFonts w:hint="eastAsia" w:ascii="Times New Roman" w:hAnsi="Times New Roman" w:eastAsia="宋体" w:cs="Times New Roman"/>
                <w:sz w:val="15"/>
                <w:szCs w:val="16"/>
              </w:rPr>
              <w:t>13 698</w:t>
            </w:r>
          </w:p>
        </w:tc>
        <w:tc>
          <w:tcPr>
            <w:tcW w:w="950" w:type="dxa"/>
            <w:shd w:val="clear" w:color="auto" w:fill="FFFFFF"/>
            <w:tcMar>
              <w:top w:w="35" w:type="dxa"/>
              <w:left w:w="45" w:type="dxa"/>
              <w:bottom w:w="35" w:type="dxa"/>
              <w:right w:w="45" w:type="dxa"/>
            </w:tcMar>
            <w:vAlign w:val="center"/>
          </w:tcPr>
          <w:p w14:paraId="7F24CA70">
            <w:pPr>
              <w:spacing w:before="0" w:after="0" w:line="240" w:lineRule="auto"/>
              <w:ind w:firstLine="0"/>
              <w:jc w:val="center"/>
            </w:pPr>
            <w:r>
              <w:rPr w:hint="eastAsia">
                <w:rFonts w:hint="eastAsia" w:ascii="Times New Roman" w:hAnsi="Times New Roman" w:eastAsia="宋体" w:cs="Times New Roman"/>
                <w:sz w:val="15"/>
                <w:szCs w:val="16"/>
              </w:rPr>
              <w:t>703 / 8 000</w:t>
            </w:r>
          </w:p>
        </w:tc>
      </w:tr>
    </w:tbl>
    <w:p w14:paraId="61D7CDE1">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3.2 对照方法与统计协议</w:t>
      </w:r>
    </w:p>
    <w:p w14:paraId="3287163F">
      <w:pPr>
        <w:spacing w:before="0" w:after="0" w:line="276" w:lineRule="auto"/>
        <w:ind w:firstLine="360"/>
        <w:jc w:val="both"/>
      </w:pPr>
      <w:r>
        <w:rPr w:hint="eastAsia">
          <w:rFonts w:hint="eastAsia" w:ascii="Times New Roman" w:hAnsi="Times New Roman" w:eastAsia="宋体" w:cs="Times New Roman"/>
          <w:color w:val="000000"/>
          <w:sz w:val="18"/>
          <w:szCs w:val="18"/>
        </w:rPr>
        <w:t>主比较包含5个预定义场景×2种方法×30个配对种子，共300条完整运行轨迹；另以200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spacing w:before="0" w:after="0" w:line="276" w:lineRule="auto"/>
        <w:ind w:firstLine="360"/>
        <w:jc w:val="both"/>
      </w:pPr>
      <w:r>
        <w:rPr w:hint="eastAsia">
          <w:rFonts w:hint="eastAsia" w:ascii="Times New Roman" w:hAnsi="Times New Roman" w:eastAsia="宋体" w:cs="Times New Roman"/>
          <w:sz w:val="18"/>
        </w:rPr>
        <w:t>严格可行率的5个场景构成一个Holm校正族；满足共同成功数不少于6的3个成本比较构成另一个Holm校正族。对同一种子s的共同严格成功配对，成本变化率定义为r_s=(C_MGA,s-C_BGA,s)/C_BGA,s*100%。成本差异使用双侧Wilcoxon符号秩检验、Hodges-Lehmann估计和秩双列相关系数r_rb报告；Hodges-Lehmann估计的95%置信区间采用配对非参数bootstrap（20 000次重采样、固定随机种子）计算。各场景不按容量、候选数或共同成功样本量加权，跨场景叙述仅作描述性概括。所有参数在正式运行前冻结，未根据本轮结果回调。</w:t>
      </w:r>
    </w:p>
    <w:p w14:paraId="2B25CD6E">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表5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900" w:type="dxa"/>
            <w:shd w:val="clear" w:color="auto" w:fill="D9EAF7"/>
            <w:tcMar>
              <w:top w:w="35" w:type="dxa"/>
              <w:left w:w="45" w:type="dxa"/>
              <w:bottom w:w="35" w:type="dxa"/>
              <w:right w:w="45" w:type="dxa"/>
            </w:tcMar>
            <w:vAlign w:val="center"/>
          </w:tcPr>
          <w:p w14:paraId="0EA32D3D">
            <w:pPr>
              <w:spacing w:before="0" w:after="0" w:line="240" w:lineRule="auto"/>
              <w:ind w:firstLine="0"/>
              <w:jc w:val="center"/>
            </w:pPr>
            <w:r>
              <w:rPr w:hint="eastAsia">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spacing w:before="0" w:after="0" w:line="240" w:lineRule="auto"/>
              <w:ind w:firstLine="0"/>
              <w:jc w:val="center"/>
            </w:pPr>
            <w:r>
              <w:rPr w:hint="eastAsia">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spacing w:before="0" w:after="0" w:line="240" w:lineRule="auto"/>
              <w:ind w:firstLine="0"/>
            </w:pPr>
            <w:r>
              <w:rPr w:hint="eastAsia">
                <w:rFonts w:hint="eastAsia" w:ascii="Times New Roman" w:hAnsi="Times New Roman" w:eastAsia="宋体" w:cs="Times New Roman"/>
                <w:sz w:val="15"/>
              </w:rPr>
              <w:t>主比较</w:t>
            </w:r>
          </w:p>
        </w:tc>
        <w:tc>
          <w:tcPr>
            <w:tcW w:w="3620" w:type="dxa"/>
            <w:tcMar>
              <w:top w:w="35" w:type="dxa"/>
              <w:left w:w="45" w:type="dxa"/>
              <w:bottom w:w="35" w:type="dxa"/>
              <w:right w:w="45" w:type="dxa"/>
            </w:tcMar>
            <w:vAlign w:val="center"/>
          </w:tcPr>
          <w:p w14:paraId="072DFF32">
            <w:pPr>
              <w:spacing w:before="0" w:after="0" w:line="240" w:lineRule="auto"/>
              <w:ind w:firstLine="0"/>
            </w:pPr>
            <w:r>
              <w:rPr w:hint="eastAsia">
                <w:rFonts w:hint="eastAsia" w:ascii="Times New Roman" w:hAnsi="Times New Roman" w:eastAsia="宋体" w:cs="Times New Roman"/>
                <w:sz w:val="15"/>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spacing w:before="0" w:after="0" w:line="240" w:lineRule="auto"/>
              <w:ind w:firstLine="0"/>
            </w:pPr>
            <w:r>
              <w:rPr w:hint="eastAsia">
                <w:rFonts w:hint="eastAsia" w:ascii="Times New Roman" w:hAnsi="Times New Roman" w:eastAsia="宋体" w:cs="Times New Roman"/>
                <w:sz w:val="15"/>
              </w:rPr>
              <w:t>候选与去重</w:t>
            </w:r>
          </w:p>
        </w:tc>
        <w:tc>
          <w:tcPr>
            <w:tcW w:w="3620" w:type="dxa"/>
            <w:tcMar>
              <w:top w:w="35" w:type="dxa"/>
              <w:left w:w="45" w:type="dxa"/>
              <w:bottom w:w="35" w:type="dxa"/>
              <w:right w:w="45" w:type="dxa"/>
            </w:tcMar>
            <w:vAlign w:val="center"/>
          </w:tcPr>
          <w:p w14:paraId="58BC847F">
            <w:pPr>
              <w:spacing w:before="0" w:after="0" w:line="240" w:lineRule="auto"/>
              <w:ind w:firstLine="0"/>
            </w:pPr>
            <w:r>
              <w:rPr w:hint="eastAsia">
                <w:rFonts w:hint="eastAsia" w:ascii="Times New Roman" w:hAnsi="Times New Roman" w:eastAsia="宋体" w:cs="Times New Roman"/>
                <w:sz w:val="15"/>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spacing w:before="0" w:after="0" w:line="240" w:lineRule="auto"/>
              <w:ind w:firstLine="0"/>
            </w:pPr>
            <w:r>
              <w:rPr w:hint="eastAsia">
                <w:rFonts w:hint="eastAsia" w:ascii="Times New Roman" w:hAnsi="Times New Roman" w:eastAsia="宋体" w:cs="Times New Roman"/>
                <w:sz w:val="15"/>
              </w:rPr>
              <w:t>第0代初始化</w:t>
            </w:r>
          </w:p>
        </w:tc>
        <w:tc>
          <w:tcPr>
            <w:tcW w:w="3620" w:type="dxa"/>
            <w:tcMar>
              <w:top w:w="35" w:type="dxa"/>
              <w:left w:w="45" w:type="dxa"/>
              <w:bottom w:w="35" w:type="dxa"/>
              <w:right w:w="45" w:type="dxa"/>
            </w:tcMar>
            <w:vAlign w:val="center"/>
          </w:tcPr>
          <w:p w14:paraId="6997FB08">
            <w:pPr>
              <w:spacing w:before="0" w:after="0" w:line="240" w:lineRule="auto"/>
              <w:ind w:firstLine="0"/>
            </w:pPr>
            <w:r>
              <w:rPr w:hint="eastAsia">
                <w:rFonts w:hint="eastAsia" w:ascii="Times New Roman" w:hAnsi="Times New Roman" w:eastAsia="宋体" w:cs="Times New Roman"/>
                <w:sz w:val="15"/>
              </w:rPr>
              <w:t>单项覆盖、关键两两覆盖、历史种子和随机候选混合；历史占覆盖外槽位不大于0.35；实际N0见表4。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spacing w:before="0" w:after="0" w:line="240" w:lineRule="auto"/>
              <w:ind w:firstLine="0"/>
            </w:pPr>
            <w:r>
              <w:rPr w:hint="eastAsia">
                <w:rFonts w:hint="eastAsia" w:ascii="Times New Roman" w:hAnsi="Times New Roman" w:eastAsia="宋体" w:cs="Times New Roman"/>
                <w:sz w:val="15"/>
              </w:rPr>
              <w:t>工作种群与选择</w:t>
            </w:r>
          </w:p>
        </w:tc>
        <w:tc>
          <w:tcPr>
            <w:tcW w:w="3620" w:type="dxa"/>
            <w:tcMar>
              <w:top w:w="35" w:type="dxa"/>
              <w:left w:w="45" w:type="dxa"/>
              <w:bottom w:w="35" w:type="dxa"/>
              <w:right w:w="45" w:type="dxa"/>
            </w:tcMar>
            <w:vAlign w:val="center"/>
          </w:tcPr>
          <w:p w14:paraId="3B2C2D9E">
            <w:pPr>
              <w:spacing w:before="0" w:after="0" w:line="240" w:lineRule="auto"/>
              <w:ind w:firstLine="0"/>
              <w:jc w:val="left"/>
            </w:pPr>
            <w:r>
              <w:rPr w:hint="default">
                <w:rFonts w:ascii="Cambria Math" w:hAnsi="Cambria Math" w:eastAsia="Cambria Math" w:cs="Cambria Math"/>
                <w:sz w:val="15"/>
              </w:rPr>
              <w:t>N=⌈6√N₀⌉</w:t>
            </w:r>
            <w:r>
              <w:rPr w:hint="eastAsia">
                <w:rFonts w:ascii="Times New Roman" w:hAnsi="Times New Roman" w:eastAsia="宋体" w:cs="Times New Roman"/>
                <w:sz w:val="15"/>
              </w:rPr>
              <w:t>：347、319、666、747、703；锦标赛规模3；每代精英2条；严格档案优先。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spacing w:before="0" w:after="0" w:line="240" w:lineRule="auto"/>
              <w:ind w:firstLine="0"/>
            </w:pPr>
            <w:r>
              <w:rPr w:hint="eastAsia">
                <w:rFonts w:hint="eastAsia" w:ascii="Times New Roman" w:hAnsi="Times New Roman" w:eastAsia="宋体" w:cs="Times New Roman"/>
                <w:sz w:val="15"/>
              </w:rPr>
              <w:t>公共遗传参数</w:t>
            </w:r>
          </w:p>
        </w:tc>
        <w:tc>
          <w:tcPr>
            <w:tcW w:w="3620" w:type="dxa"/>
            <w:tcMar>
              <w:top w:w="35" w:type="dxa"/>
              <w:left w:w="45" w:type="dxa"/>
              <w:bottom w:w="35" w:type="dxa"/>
              <w:right w:w="45" w:type="dxa"/>
            </w:tcMar>
            <w:vAlign w:val="center"/>
          </w:tcPr>
          <w:p w14:paraId="453F67A6">
            <w:pPr>
              <w:spacing w:before="0" w:after="0" w:line="240" w:lineRule="auto"/>
              <w:ind w:firstLine="0"/>
            </w:pPr>
            <w:r>
              <w:rPr w:hint="eastAsia">
                <w:rFonts w:hint="eastAsia" w:ascii="Times New Roman" w:hAnsi="Times New Roman" w:eastAsia="宋体" w:cs="Times New Roman"/>
                <w:sz w:val="15"/>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spacing w:before="0" w:after="0" w:line="240" w:lineRule="auto"/>
              <w:ind w:firstLine="0"/>
            </w:pPr>
            <w:r>
              <w:rPr w:hint="eastAsia">
                <w:rFonts w:hint="eastAsia" w:ascii="Times New Roman" w:hAnsi="Times New Roman" w:eastAsia="宋体" w:cs="Times New Roman"/>
                <w:sz w:val="15"/>
              </w:rPr>
              <w:t>BGA/MGA差异</w:t>
            </w:r>
          </w:p>
        </w:tc>
        <w:tc>
          <w:tcPr>
            <w:tcW w:w="3620" w:type="dxa"/>
            <w:tcMar>
              <w:top w:w="35" w:type="dxa"/>
              <w:left w:w="45" w:type="dxa"/>
              <w:bottom w:w="35" w:type="dxa"/>
              <w:right w:w="45" w:type="dxa"/>
            </w:tcMar>
            <w:vAlign w:val="center"/>
          </w:tcPr>
          <w:p w14:paraId="2C7B51B1">
            <w:pPr>
              <w:spacing w:before="0" w:after="0" w:line="240" w:lineRule="auto"/>
              <w:ind w:firstLine="0"/>
              <w:jc w:val="left"/>
            </w:pPr>
            <w:r>
              <w:rPr w:hint="eastAsia">
                <w:rFonts w:ascii="Times New Roman" w:hAnsi="Times New Roman" w:eastAsia="宋体" w:cs="Times New Roman"/>
                <w:sz w:val="15"/>
              </w:rPr>
              <w:t>BGA：关闭</w:t>
            </w:r>
            <w:r>
              <w:rPr w:hint="default">
                <w:rFonts w:ascii="Cambria Math" w:hAnsi="Cambria Math" w:eastAsia="Cambria Math" w:cs="Cambria Math"/>
                <w:sz w:val="15"/>
              </w:rPr>
              <w:t>A</w:t>
            </w:r>
            <w:r>
              <w:rPr w:hint="default">
                <w:rFonts w:ascii="Cambria Math" w:hAnsi="Cambria Math" w:eastAsia="Cambria Math" w:cs="Cambria Math"/>
                <w:sz w:val="15"/>
                <w:vertAlign w:val="subscript"/>
              </w:rPr>
              <w:t>n</w:t>
            </w:r>
            <w:r>
              <w:rPr w:hint="eastAsia">
                <w:rFonts w:ascii="Times New Roman" w:hAnsi="Times New Roman" w:eastAsia="宋体" w:cs="Times New Roman"/>
                <w:sz w:val="15"/>
              </w:rPr>
              <w:t>、</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cross</w:t>
            </w:r>
            <w:r>
              <w:rPr w:hint="default">
                <w:rFonts w:ascii="Cambria Math" w:hAnsi="Cambria Math" w:eastAsia="Cambria Math" w:cs="Cambria Math"/>
                <w:sz w:val="15"/>
              </w:rPr>
              <w:t>=0</w:t>
            </w:r>
            <w:r>
              <w:rPr w:hint="eastAsia">
                <w:rFonts w:ascii="Times New Roman" w:hAnsi="Times New Roman" w:eastAsia="宋体" w:cs="Times New Roman"/>
                <w:sz w:val="15"/>
              </w:rPr>
              <w:t>，原始域随机注入、普通随机变异；MGA：启用</w:t>
            </w:r>
            <w:r>
              <w:rPr w:hint="default">
                <w:rFonts w:ascii="Cambria Math" w:hAnsi="Cambria Math" w:eastAsia="Cambria Math" w:cs="Cambria Math"/>
                <w:sz w:val="15"/>
              </w:rPr>
              <w:t>A</w:t>
            </w:r>
            <w:r>
              <w:rPr w:hint="default">
                <w:rFonts w:ascii="Cambria Math" w:hAnsi="Cambria Math" w:eastAsia="Cambria Math" w:cs="Cambria Math"/>
                <w:sz w:val="15"/>
                <w:vertAlign w:val="subscript"/>
              </w:rPr>
              <w:t>n</w:t>
            </w:r>
            <w:r>
              <w:rPr w:hint="eastAsia">
                <w:rFonts w:ascii="Times New Roman" w:hAnsi="Times New Roman" w:eastAsia="宋体" w:cs="Times New Roman"/>
                <w:sz w:val="15"/>
              </w:rPr>
              <w:t>（父代B概率0.30）、</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cross</w:t>
            </w:r>
            <w:r>
              <w:rPr w:hint="default">
                <w:rFonts w:ascii="Cambria Math" w:hAnsi="Cambria Math" w:eastAsia="Cambria Math" w:cs="Cambria Math"/>
                <w:sz w:val="15"/>
              </w:rPr>
              <w:t>=0.75</w:t>
            </w:r>
            <w:r>
              <w:rPr w:hint="eastAsia">
                <w:rFonts w:ascii="Times New Roman" w:hAnsi="Times New Roman" w:eastAsia="宋体" w:cs="Times New Roman"/>
                <w:sz w:val="15"/>
              </w:rPr>
              <w:t>与候选池注入（</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inj</w:t>
            </w:r>
            <w:r>
              <w:rPr w:hint="default">
                <w:rFonts w:ascii="Cambria Math" w:hAnsi="Cambria Math" w:eastAsia="Cambria Math" w:cs="Cambria Math"/>
                <w:sz w:val="15"/>
              </w:rPr>
              <w:t>=0.10；</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single</w:t>
            </w:r>
            <w:r>
              <w:rPr w:hint="default">
                <w:rFonts w:ascii="Cambria Math" w:hAnsi="Cambria Math" w:eastAsia="Cambria Math" w:cs="Cambria Math"/>
                <w:sz w:val="15"/>
              </w:rPr>
              <w:t>=0.75；</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double</w:t>
            </w:r>
            <w:r>
              <w:rPr w:hint="default">
                <w:rFonts w:ascii="Cambria Math" w:hAnsi="Cambria Math" w:eastAsia="Cambria Math" w:cs="Cambria Math"/>
                <w:sz w:val="15"/>
              </w:rPr>
              <w:t>=0.25</w:t>
            </w:r>
            <w:r>
              <w:rPr w:hint="eastAsia">
                <w:rFonts w:ascii="Times New Roman" w:hAnsi="Times New Roman" w:eastAsia="宋体" w:cs="Times New Roman"/>
                <w:sz w:val="15"/>
              </w:rPr>
              <w:t>），普通随机变异。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spacing w:before="0" w:after="0" w:line="240" w:lineRule="auto"/>
              <w:ind w:firstLine="0"/>
            </w:pPr>
            <w:r>
              <w:rPr w:hint="eastAsia">
                <w:rFonts w:hint="eastAsia" w:ascii="Times New Roman" w:hAnsi="Times New Roman" w:eastAsia="宋体" w:cs="Times New Roman"/>
                <w:sz w:val="15"/>
              </w:rPr>
              <w:t>公共档案、末端细化与诊断扩展</w:t>
            </w:r>
          </w:p>
        </w:tc>
        <w:tc>
          <w:tcPr>
            <w:tcW w:w="3620" w:type="dxa"/>
            <w:tcMar>
              <w:top w:w="35" w:type="dxa"/>
              <w:left w:w="45" w:type="dxa"/>
              <w:bottom w:w="35" w:type="dxa"/>
              <w:right w:w="45" w:type="dxa"/>
            </w:tcMar>
            <w:vAlign w:val="center"/>
          </w:tcPr>
          <w:p w14:paraId="3919EC20">
            <w:pPr>
              <w:spacing w:before="0" w:after="0" w:line="240" w:lineRule="auto"/>
              <w:ind w:firstLine="0"/>
              <w:jc w:val="left"/>
            </w:pPr>
            <w:r>
              <w:rPr w:hint="eastAsia">
                <w:rFonts w:ascii="Times New Roman" w:hAnsi="Times New Roman" w:eastAsia="宋体" w:cs="Times New Roman"/>
                <w:sz w:val="15"/>
              </w:rPr>
              <w:t>公共：</w:t>
            </w:r>
            <w:r>
              <w:rPr w:hint="default">
                <w:rFonts w:ascii="Cambria Math" w:hAnsi="Cambria Math" w:eastAsia="Cambria Math" w:cs="Cambria Math"/>
                <w:sz w:val="15"/>
              </w:rPr>
              <w:t>L</w:t>
            </w:r>
            <w:r>
              <w:rPr w:hint="default">
                <w:rFonts w:ascii="Cambria Math" w:hAnsi="Cambria Math" w:eastAsia="Cambria Math" w:cs="Cambria Math"/>
                <w:sz w:val="15"/>
              </w:rPr>
              <w:t>=24</w:t>
            </w:r>
            <w:r>
              <w:rPr w:hint="eastAsia">
                <w:rFonts w:ascii="Times New Roman" w:hAnsi="Times New Roman" w:eastAsia="宋体" w:cs="Times New Roman"/>
                <w:sz w:val="15"/>
              </w:rPr>
              <w:t>；末端细化为前3条严格精英、最多12邻居，计入</w:t>
            </w:r>
            <w:r>
              <w:rPr w:hint="default">
                <w:rFonts w:ascii="Cambria Math" w:hAnsi="Cambria Math" w:eastAsia="Cambria Math" w:cs="Cambria Math"/>
                <w:sz w:val="15"/>
              </w:rPr>
              <w:t>B</w:t>
            </w:r>
            <w:r>
              <w:rPr w:hint="default">
                <w:rFonts w:ascii="Cambria Math" w:hAnsi="Cambria Math" w:eastAsia="Cambria Math" w:cs="Cambria Math"/>
                <w:sz w:val="15"/>
              </w:rPr>
              <w:t>′</w:t>
            </w:r>
            <w:r>
              <w:rPr w:hint="eastAsia">
                <w:rFonts w:ascii="Times New Roman" w:hAnsi="Times New Roman" w:eastAsia="宋体" w:cs="Times New Roman"/>
                <w:sz w:val="15"/>
              </w:rPr>
              <w:t>。默认MGA：random_only；诊断扩展：single_primary=0.65，每轮不大于3条。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spacing w:before="0" w:after="0" w:line="240" w:lineRule="auto"/>
              <w:ind w:firstLine="0"/>
            </w:pPr>
            <w:r>
              <w:rPr w:hint="eastAsia">
                <w:rFonts w:hint="eastAsia" w:ascii="Times New Roman" w:hAnsi="Times New Roman" w:eastAsia="宋体" w:cs="Times New Roman"/>
                <w:sz w:val="15"/>
              </w:rPr>
              <w:t>预算与停止</w:t>
            </w:r>
          </w:p>
        </w:tc>
        <w:tc>
          <w:tcPr>
            <w:tcW w:w="3620" w:type="dxa"/>
            <w:tcMar>
              <w:top w:w="35" w:type="dxa"/>
              <w:left w:w="45" w:type="dxa"/>
              <w:bottom w:w="35" w:type="dxa"/>
              <w:right w:w="45" w:type="dxa"/>
            </w:tcMar>
            <w:vAlign w:val="center"/>
          </w:tcPr>
          <w:p w14:paraId="32092770">
            <w:pPr>
              <w:spacing w:before="0" w:after="0" w:line="240" w:lineRule="auto"/>
              <w:ind w:firstLine="0"/>
            </w:pPr>
            <w:r>
              <w:rPr w:hint="eastAsia">
                <w:rFonts w:hint="eastAsia" w:ascii="Times New Roman" w:hAnsi="Times New Roman" w:eastAsia="宋体" w:cs="Times New Roman"/>
                <w:sz w:val="15"/>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spacing w:before="0" w:after="0" w:line="240" w:lineRule="auto"/>
              <w:ind w:firstLine="0"/>
            </w:pPr>
            <w:r>
              <w:rPr w:hint="eastAsia">
                <w:rFonts w:hint="eastAsia" w:ascii="Times New Roman" w:hAnsi="Times New Roman" w:eastAsia="宋体" w:cs="Times New Roman"/>
                <w:sz w:val="15"/>
              </w:rPr>
              <w:t>统计与冻结</w:t>
            </w:r>
          </w:p>
        </w:tc>
        <w:tc>
          <w:tcPr>
            <w:tcW w:w="3620" w:type="dxa"/>
            <w:tcMar>
              <w:top w:w="35" w:type="dxa"/>
              <w:left w:w="45" w:type="dxa"/>
              <w:bottom w:w="35" w:type="dxa"/>
              <w:right w:w="45" w:type="dxa"/>
            </w:tcMar>
            <w:vAlign w:val="center"/>
          </w:tcPr>
          <w:p w14:paraId="0B12A002">
            <w:pPr>
              <w:spacing w:before="0" w:after="0" w:line="240" w:lineRule="auto"/>
              <w:ind w:firstLine="0"/>
            </w:pPr>
            <w:r>
              <w:rPr w:hint="eastAsia">
                <w:rFonts w:hint="eastAsia" w:ascii="Times New Roman" w:hAnsi="Times New Roman" w:eastAsia="宋体" w:cs="Times New Roman"/>
                <w:sz w:val="15"/>
              </w:rPr>
              <w:t>严格成功率：5场景McNemar-Holm；成本：共同成功n不小于6的3场景Wilcoxon-Holm；参数正式运行前冻结。</w:t>
            </w:r>
          </w:p>
        </w:tc>
      </w:tr>
    </w:tbl>
    <w:p w14:paraId="60188831">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4 结果与分析</w:t>
      </w:r>
    </w:p>
    <w:p w14:paraId="7AD16169">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4.1 严格可行发现与精算调用</w:t>
      </w:r>
    </w:p>
    <w:p w14:paraId="04564C71">
      <w:pPr>
        <w:keepNext/>
        <w:spacing w:before="0" w:after="0" w:line="276" w:lineRule="auto"/>
        <w:ind w:firstLine="360"/>
        <w:jc w:val="both"/>
      </w:pPr>
      <w:r>
        <w:rPr w:hint="eastAsia">
          <w:rFonts w:hint="eastAsia" w:ascii="Times New Roman" w:hAnsi="Times New Roman" w:eastAsia="宋体" w:cs="Times New Roman"/>
          <w:sz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40" w:after="20"/>
        <w:jc w:val="center"/>
      </w:pPr>
      <w:r>
        <w:rPr>
          <w:rFonts w:hint="eastAsia" w:ascii="Times New Roman" w:hAnsi="Times New Roman" w:eastAsia="宋体" w:cs="Times New Roman"/>
          <w:color w:val="000000"/>
        </w:rPr>
        <w:drawing>
          <wp:inline distT="0" distB="0" distL="114300" distR="114300">
            <wp:extent cx="2834640" cy="1090295"/>
            <wp:effectExtent l="0" t="0" r="0" b="1270"/>
            <wp:docPr id="4" name="Picture 4" descr="五个预定义场景的严格可行率与精算调用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五个预定义场景的严格可行率与精算调用量"/>
                    <pic:cNvPicPr>
                      <a:picLocks noChangeAspect="1"/>
                    </pic:cNvPicPr>
                  </pic:nvPicPr>
                  <pic:blipFill>
                    <a:blip r:embed="rId14"/>
                    <a:stretch>
                      <a:fillRect/>
                    </a:stretch>
                  </pic:blipFill>
                  <pic:spPr>
                    <a:xfrm>
                      <a:off x="0" y="0"/>
                      <a:ext cx="2834640" cy="1090684"/>
                    </a:xfrm>
                    <a:prstGeom prst="rect">
                      <a:avLst/>
                    </a:prstGeom>
                  </pic:spPr>
                </pic:pic>
              </a:graphicData>
            </a:graphic>
          </wp:inline>
        </w:drawing>
      </w:r>
    </w:p>
    <w:p w14:paraId="7B8A0261">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图4 五个预定义场景的严格可行发现率与第0代后真实精算调用中位数</w:t>
      </w:r>
    </w:p>
    <w:p w14:paraId="6073CADD">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4.2 可行率与成本比较</w:t>
      </w:r>
    </w:p>
    <w:p w14:paraId="41C011DD">
      <w:pPr>
        <w:keepNext/>
        <w:spacing w:before="0" w:after="0" w:line="276" w:lineRule="auto"/>
        <w:ind w:firstLine="360"/>
        <w:jc w:val="both"/>
      </w:pPr>
      <w:r>
        <w:rPr w:hint="eastAsia">
          <w:rFonts w:ascii="Times New Roman" w:hAnsi="Times New Roman" w:eastAsia="宋体" w:cs="Times New Roman"/>
          <w:sz w:val="18"/>
        </w:rPr>
        <w:t>表6和图5报告严格成功率与共同严格成功配对上的成本结果。场景C中双方30个种子均严格成功，MGA相对BGA的Hodges-Lehmann成本变化率为-0.83%（95% CI：-1.03%，-0.83%；Holm p=3.84e-5；rrb=-0.885）。场景D的共同成功配对数为12，成本变化率为-7.02%（95% CI：-11.96%，-3.75%；Holm p=9.77e-4；rrb=-1.000）。场景B的共同成功配对数为14，成本变化率为0.00%，未达到统计显著（Holm p=0.5176；rrb=-0.286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40" w:after="20"/>
        <w:jc w:val="center"/>
      </w:pPr>
      <w:r>
        <w:rPr>
          <w:rFonts w:hint="eastAsia" w:ascii="Times New Roman" w:hAnsi="Times New Roman" w:eastAsia="宋体" w:cs="Times New Roman"/>
          <w:color w:val="000000"/>
        </w:rPr>
        <w:drawing>
          <wp:inline distT="0" distB="0" distL="114300" distR="114300">
            <wp:extent cx="2907665" cy="2286000"/>
            <wp:effectExtent l="0" t="0" r="0" b="635"/>
            <wp:docPr id="5" name="Picture 5" descr="共同严格成功配对的最低严格成本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共同严格成功配对的最低严格成本中位数"/>
                    <pic:cNvPicPr>
                      <a:picLocks noChangeAspect="1"/>
                    </pic:cNvPicPr>
                  </pic:nvPicPr>
                  <pic:blipFill>
                    <a:blip r:embed="rId15"/>
                    <a:stretch>
                      <a:fillRect/>
                    </a:stretch>
                  </pic:blipFill>
                  <pic:spPr>
                    <a:xfrm>
                      <a:off x="0" y="0"/>
                      <a:ext cx="2907792" cy="2286000"/>
                    </a:xfrm>
                    <a:prstGeom prst="rect">
                      <a:avLst/>
                    </a:prstGeom>
                  </pic:spPr>
                </pic:pic>
              </a:graphicData>
            </a:graphic>
          </wp:inline>
        </w:drawing>
      </w:r>
    </w:p>
    <w:p w14:paraId="2C51D937">
      <w:pPr>
        <w:keepNext/>
        <w:keepLines/>
        <w:spacing w:before="40" w:after="20" w:line="240" w:lineRule="auto"/>
        <w:ind w:firstLine="0"/>
        <w:jc w:val="center"/>
        <w:rPr>
          <w:rFonts w:ascii="Times New Roman" w:hAnsi="Times New Roman" w:eastAsia="宋体" w:cs="Times New Roman"/>
          <w:b w:val="0"/>
          <w:bCs/>
          <w:color w:val="000000"/>
          <w:sz w:val="18"/>
          <w:szCs w:val="18"/>
        </w:rPr>
      </w:pPr>
      <w:r>
        <w:rPr w:hint="eastAsia">
          <w:rFonts w:hint="eastAsia" w:ascii="Times New Roman" w:hAnsi="Times New Roman" w:eastAsia="宋体" w:cs="Times New Roman"/>
          <w:b w:val="0"/>
          <w:bCs/>
          <w:color w:val="000000"/>
          <w:sz w:val="18"/>
          <w:szCs w:val="18"/>
        </w:rPr>
        <w:t>图5 共同严格成功配对的Hodges-Lehmann成本变化率（负值表示MGA成本较低；点为估计值，线为95% CI）</w:t>
      </w:r>
    </w:p>
    <w:p w14:paraId="7733BC31">
      <w:pPr>
        <w:keepNext/>
        <w:keepLines/>
        <w:spacing w:before="40" w:after="20" w:line="240" w:lineRule="auto"/>
        <w:ind w:firstLine="0"/>
        <w:jc w:val="center"/>
        <w:rPr>
          <w:b w:val="0"/>
          <w:bCs/>
        </w:rPr>
      </w:pPr>
      <w:r>
        <w:rPr>
          <w:rFonts w:ascii="Times New Roman" w:hAnsi="Times New Roman" w:eastAsia="宋体" w:cs="Times New Roman"/>
          <w:sz w:val="18"/>
        </w:rPr>
        <w:t>表6 BGA与MGA严格成功情况及共同成功条件下的成本比较</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120"/>
        <w:gridCol w:w="620"/>
        <w:gridCol w:w="1999"/>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1120" w:type="dxa"/>
            <w:shd w:val="clear" w:color="auto" w:fill="D9EAF7"/>
            <w:tcMar>
              <w:top w:w="60" w:type="dxa"/>
              <w:left w:w="70" w:type="dxa"/>
              <w:bottom w:w="60" w:type="dxa"/>
              <w:right w:w="70" w:type="dxa"/>
            </w:tcMar>
            <w:vAlign w:val="center"/>
          </w:tcPr>
          <w:p w14:paraId="7F24CA08">
            <w:pPr>
              <w:spacing w:before="0" w:after="0" w:line="240" w:lineRule="auto"/>
              <w:ind w:firstLine="0"/>
              <w:jc w:val="center"/>
            </w:pPr>
            <w:r>
              <w:rPr w:hint="eastAsia">
                <w:rFonts w:hint="eastAsia" w:ascii="Times New Roman" w:hAnsi="Times New Roman" w:eastAsia="宋体" w:cs="Times New Roman"/>
                <w:b/>
                <w:sz w:val="15"/>
                <w:szCs w:val="16"/>
              </w:rPr>
              <w:t>严格成功（BGA 至 MGA）</w:t>
            </w:r>
          </w:p>
        </w:tc>
        <w:tc>
          <w:tcPr>
            <w:tcW w:w="620" w:type="dxa"/>
            <w:shd w:val="clear" w:color="auto" w:fill="D9EAF7"/>
            <w:tcMar>
              <w:top w:w="60" w:type="dxa"/>
              <w:left w:w="70" w:type="dxa"/>
              <w:bottom w:w="60" w:type="dxa"/>
              <w:right w:w="70" w:type="dxa"/>
            </w:tcMar>
            <w:vAlign w:val="center"/>
          </w:tcPr>
          <w:p w14:paraId="7F24CA0A">
            <w:pPr>
              <w:spacing w:before="0" w:after="0" w:line="240" w:lineRule="auto"/>
              <w:ind w:firstLine="0"/>
              <w:jc w:val="center"/>
            </w:pPr>
            <w:r>
              <w:rPr w:hint="eastAsia">
                <w:rFonts w:hint="eastAsia" w:ascii="Times New Roman" w:hAnsi="Times New Roman" w:eastAsia="宋体" w:cs="Times New Roman"/>
                <w:b/>
                <w:sz w:val="15"/>
                <w:szCs w:val="16"/>
              </w:rPr>
              <w:t>共同成功 n</w:t>
            </w:r>
          </w:p>
        </w:tc>
        <w:tc>
          <w:tcPr>
            <w:tcW w:w="2000" w:type="dxa"/>
            <w:shd w:val="clear" w:color="auto" w:fill="D9EAF7"/>
            <w:tcMar>
              <w:top w:w="60" w:type="dxa"/>
              <w:left w:w="70" w:type="dxa"/>
              <w:bottom w:w="60" w:type="dxa"/>
              <w:right w:w="70" w:type="dxa"/>
            </w:tcMar>
            <w:vAlign w:val="center"/>
          </w:tcPr>
          <w:p w14:paraId="7F24CA0C">
            <w:pPr>
              <w:spacing w:before="0" w:after="0" w:line="240" w:lineRule="auto"/>
              <w:ind w:firstLine="0"/>
              <w:jc w:val="center"/>
            </w:pPr>
            <w:r>
              <w:rPr w:hint="eastAsia">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spacing w:before="0" w:after="0" w:line="240" w:lineRule="auto"/>
              <w:ind w:firstLine="0"/>
              <w:jc w:val="center"/>
            </w:pPr>
            <w:r>
              <w:rPr w:hint="eastAsia">
                <w:rFonts w:hint="eastAsia" w:ascii="Times New Roman" w:hAnsi="Times New Roman" w:eastAsia="宋体" w:cs="Times New Roman"/>
                <w:sz w:val="15"/>
                <w:szCs w:val="16"/>
              </w:rPr>
              <w:t>A</w:t>
            </w:r>
          </w:p>
        </w:tc>
        <w:tc>
          <w:tcPr>
            <w:tcW w:w="1120" w:type="dxa"/>
            <w:shd w:val="clear" w:color="auto" w:fill="FFFFFF"/>
            <w:tcMar>
              <w:top w:w="60" w:type="dxa"/>
              <w:left w:w="70" w:type="dxa"/>
              <w:bottom w:w="60" w:type="dxa"/>
              <w:right w:w="70" w:type="dxa"/>
            </w:tcMar>
            <w:vAlign w:val="center"/>
          </w:tcPr>
          <w:p w14:paraId="7F24CA10">
            <w:pPr>
              <w:spacing w:before="0" w:after="0" w:line="240" w:lineRule="auto"/>
              <w:ind w:firstLine="0"/>
              <w:jc w:val="center"/>
            </w:pPr>
            <w:r>
              <w:rPr w:hint="eastAsia">
                <w:rFonts w:hint="eastAsia" w:ascii="Times New Roman" w:hAnsi="Times New Roman" w:eastAsia="宋体" w:cs="Times New Roman"/>
                <w:sz w:val="15"/>
                <w:szCs w:val="16"/>
              </w:rPr>
              <w:t>5/30 至 6/30</w:t>
            </w:r>
          </w:p>
        </w:tc>
        <w:tc>
          <w:tcPr>
            <w:tcW w:w="620" w:type="dxa"/>
            <w:shd w:val="clear" w:color="auto" w:fill="FFFFFF"/>
            <w:tcMar>
              <w:top w:w="60" w:type="dxa"/>
              <w:left w:w="70" w:type="dxa"/>
              <w:bottom w:w="60" w:type="dxa"/>
              <w:right w:w="70" w:type="dxa"/>
            </w:tcMar>
            <w:vAlign w:val="center"/>
          </w:tcPr>
          <w:p w14:paraId="7F24CA12">
            <w:pPr>
              <w:spacing w:before="0" w:after="0" w:line="240" w:lineRule="auto"/>
              <w:ind w:firstLine="0"/>
              <w:jc w:val="center"/>
            </w:pPr>
            <w:r>
              <w:rPr w:hint="eastAsia">
                <w:rFonts w:hint="eastAsia" w:ascii="Times New Roman" w:hAnsi="Times New Roman" w:eastAsia="宋体" w:cs="Times New Roman"/>
                <w:sz w:val="15"/>
                <w:szCs w:val="16"/>
              </w:rPr>
              <w:t>2</w:t>
            </w:r>
          </w:p>
        </w:tc>
        <w:tc>
          <w:tcPr>
            <w:tcW w:w="2000" w:type="dxa"/>
            <w:shd w:val="clear" w:color="auto" w:fill="FFFFFF"/>
            <w:tcMar>
              <w:top w:w="60" w:type="dxa"/>
              <w:left w:w="70" w:type="dxa"/>
              <w:bottom w:w="60" w:type="dxa"/>
              <w:right w:w="70" w:type="dxa"/>
            </w:tcMar>
            <w:vAlign w:val="center"/>
          </w:tcPr>
          <w:p w14:paraId="7F24CA14">
            <w:pPr>
              <w:spacing w:before="0" w:after="0" w:line="240" w:lineRule="auto"/>
              <w:ind w:firstLine="0"/>
              <w:jc w:val="center"/>
            </w:pPr>
            <w:r>
              <w:rPr w:hint="eastAsia">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spacing w:before="0" w:after="0" w:line="240" w:lineRule="auto"/>
              <w:ind w:firstLine="0"/>
              <w:jc w:val="center"/>
            </w:pPr>
            <w:r>
              <w:rPr w:hint="eastAsia">
                <w:rFonts w:hint="eastAsia" w:ascii="Times New Roman" w:hAnsi="Times New Roman" w:eastAsia="宋体" w:cs="Times New Roman"/>
                <w:sz w:val="15"/>
                <w:szCs w:val="16"/>
              </w:rPr>
              <w:t>B</w:t>
            </w:r>
          </w:p>
        </w:tc>
        <w:tc>
          <w:tcPr>
            <w:tcW w:w="1120" w:type="dxa"/>
            <w:shd w:val="clear" w:color="auto" w:fill="F5F8FA"/>
            <w:tcMar>
              <w:top w:w="60" w:type="dxa"/>
              <w:left w:w="70" w:type="dxa"/>
              <w:bottom w:w="60" w:type="dxa"/>
              <w:right w:w="70" w:type="dxa"/>
            </w:tcMar>
            <w:vAlign w:val="center"/>
          </w:tcPr>
          <w:p w14:paraId="7F24CA18">
            <w:pPr>
              <w:spacing w:before="0" w:after="0" w:line="240" w:lineRule="auto"/>
              <w:ind w:firstLine="0"/>
              <w:jc w:val="center"/>
            </w:pPr>
            <w:r>
              <w:rPr w:hint="eastAsia">
                <w:rFonts w:hint="eastAsia" w:ascii="Times New Roman" w:hAnsi="Times New Roman" w:eastAsia="宋体" w:cs="Times New Roman"/>
                <w:sz w:val="15"/>
                <w:szCs w:val="16"/>
              </w:rPr>
              <w:t>18/30 至 24/30</w:t>
            </w:r>
          </w:p>
        </w:tc>
        <w:tc>
          <w:tcPr>
            <w:tcW w:w="620" w:type="dxa"/>
            <w:shd w:val="clear" w:color="auto" w:fill="F5F8FA"/>
            <w:tcMar>
              <w:top w:w="60" w:type="dxa"/>
              <w:left w:w="70" w:type="dxa"/>
              <w:bottom w:w="60" w:type="dxa"/>
              <w:right w:w="70" w:type="dxa"/>
            </w:tcMar>
            <w:vAlign w:val="center"/>
          </w:tcPr>
          <w:p w14:paraId="7F24CA1A">
            <w:pPr>
              <w:spacing w:before="0" w:after="0" w:line="240" w:lineRule="auto"/>
              <w:ind w:firstLine="0"/>
              <w:jc w:val="center"/>
            </w:pPr>
            <w:r>
              <w:rPr w:hint="eastAsia">
                <w:rFonts w:hint="eastAsia" w:ascii="Times New Roman" w:hAnsi="Times New Roman" w:eastAsia="宋体" w:cs="Times New Roman"/>
                <w:sz w:val="15"/>
                <w:szCs w:val="16"/>
              </w:rPr>
              <w:t>14</w:t>
            </w:r>
          </w:p>
        </w:tc>
        <w:tc>
          <w:tcPr>
            <w:tcW w:w="2000" w:type="dxa"/>
            <w:shd w:val="clear" w:color="auto" w:fill="F5F8FA"/>
            <w:tcMar>
              <w:top w:w="60" w:type="dxa"/>
              <w:left w:w="70" w:type="dxa"/>
              <w:bottom w:w="60" w:type="dxa"/>
              <w:right w:w="70" w:type="dxa"/>
            </w:tcMar>
            <w:vAlign w:val="center"/>
          </w:tcPr>
          <w:p w14:paraId="7F24CA1C">
            <w:pPr>
              <w:spacing w:before="0" w:after="0" w:line="240" w:lineRule="auto"/>
              <w:ind w:firstLine="0"/>
              <w:jc w:val="center"/>
            </w:pPr>
            <w:r>
              <w:rPr w:hint="eastAsia">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spacing w:before="0" w:after="0" w:line="240" w:lineRule="auto"/>
              <w:ind w:firstLine="0"/>
              <w:jc w:val="center"/>
            </w:pPr>
            <w:r>
              <w:rPr w:hint="eastAsia">
                <w:rFonts w:hint="eastAsia" w:ascii="Times New Roman" w:hAnsi="Times New Roman" w:eastAsia="宋体" w:cs="Times New Roman"/>
                <w:sz w:val="15"/>
                <w:szCs w:val="16"/>
              </w:rPr>
              <w:t>C</w:t>
            </w:r>
          </w:p>
        </w:tc>
        <w:tc>
          <w:tcPr>
            <w:tcW w:w="1120" w:type="dxa"/>
            <w:shd w:val="clear" w:color="auto" w:fill="FFFFFF"/>
            <w:tcMar>
              <w:top w:w="60" w:type="dxa"/>
              <w:left w:w="70" w:type="dxa"/>
              <w:bottom w:w="60" w:type="dxa"/>
              <w:right w:w="70" w:type="dxa"/>
            </w:tcMar>
            <w:vAlign w:val="center"/>
          </w:tcPr>
          <w:p w14:paraId="7F24CA20">
            <w:pPr>
              <w:spacing w:before="0" w:after="0" w:line="240" w:lineRule="auto"/>
              <w:ind w:firstLine="0"/>
              <w:jc w:val="center"/>
            </w:pPr>
            <w:r>
              <w:rPr w:hint="eastAsia">
                <w:rFonts w:hint="eastAsia" w:ascii="Times New Roman" w:hAnsi="Times New Roman" w:eastAsia="宋体" w:cs="Times New Roman"/>
                <w:sz w:val="15"/>
                <w:szCs w:val="16"/>
              </w:rPr>
              <w:t>30/30 至 30/30</w:t>
            </w:r>
          </w:p>
        </w:tc>
        <w:tc>
          <w:tcPr>
            <w:tcW w:w="620" w:type="dxa"/>
            <w:shd w:val="clear" w:color="auto" w:fill="FFFFFF"/>
            <w:tcMar>
              <w:top w:w="60" w:type="dxa"/>
              <w:left w:w="70" w:type="dxa"/>
              <w:bottom w:w="60" w:type="dxa"/>
              <w:right w:w="70" w:type="dxa"/>
            </w:tcMar>
            <w:vAlign w:val="center"/>
          </w:tcPr>
          <w:p w14:paraId="7F24CA22">
            <w:pPr>
              <w:spacing w:before="0" w:after="0" w:line="240" w:lineRule="auto"/>
              <w:ind w:firstLine="0"/>
              <w:jc w:val="center"/>
            </w:pPr>
            <w:r>
              <w:rPr w:hint="eastAsia">
                <w:rFonts w:hint="eastAsia" w:ascii="Times New Roman" w:hAnsi="Times New Roman" w:eastAsia="宋体" w:cs="Times New Roman"/>
                <w:sz w:val="15"/>
                <w:szCs w:val="16"/>
              </w:rPr>
              <w:t>30</w:t>
            </w:r>
          </w:p>
        </w:tc>
        <w:tc>
          <w:tcPr>
            <w:tcW w:w="2000" w:type="dxa"/>
            <w:shd w:val="clear" w:color="auto" w:fill="FFFFFF"/>
            <w:tcMar>
              <w:top w:w="60" w:type="dxa"/>
              <w:left w:w="70" w:type="dxa"/>
              <w:bottom w:w="60" w:type="dxa"/>
              <w:right w:w="70" w:type="dxa"/>
            </w:tcMar>
            <w:vAlign w:val="center"/>
          </w:tcPr>
          <w:p w14:paraId="7F24CA24">
            <w:pPr>
              <w:spacing w:before="0" w:after="0" w:line="240" w:lineRule="auto"/>
              <w:ind w:firstLine="0"/>
              <w:jc w:val="center"/>
            </w:pPr>
            <w:r>
              <w:rPr w:hint="eastAsia">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spacing w:before="0" w:after="0" w:line="240" w:lineRule="auto"/>
              <w:ind w:firstLine="0"/>
              <w:jc w:val="center"/>
            </w:pPr>
            <w:r>
              <w:rPr w:hint="eastAsia">
                <w:rFonts w:hint="eastAsia" w:ascii="Times New Roman" w:hAnsi="Times New Roman" w:eastAsia="宋体" w:cs="Times New Roman"/>
                <w:sz w:val="15"/>
                <w:szCs w:val="16"/>
              </w:rPr>
              <w:t>D</w:t>
            </w:r>
          </w:p>
        </w:tc>
        <w:tc>
          <w:tcPr>
            <w:tcW w:w="1120" w:type="dxa"/>
            <w:shd w:val="clear" w:color="auto" w:fill="F5F8FA"/>
            <w:tcMar>
              <w:top w:w="60" w:type="dxa"/>
              <w:left w:w="70" w:type="dxa"/>
              <w:bottom w:w="60" w:type="dxa"/>
              <w:right w:w="70" w:type="dxa"/>
            </w:tcMar>
            <w:vAlign w:val="center"/>
          </w:tcPr>
          <w:p w14:paraId="7F24CA28">
            <w:pPr>
              <w:spacing w:before="0" w:after="0" w:line="240" w:lineRule="auto"/>
              <w:ind w:firstLine="0"/>
              <w:jc w:val="center"/>
            </w:pPr>
            <w:r>
              <w:rPr w:hint="eastAsia">
                <w:rFonts w:hint="eastAsia" w:ascii="Times New Roman" w:hAnsi="Times New Roman" w:eastAsia="宋体" w:cs="Times New Roman"/>
                <w:sz w:val="15"/>
                <w:szCs w:val="16"/>
              </w:rPr>
              <w:t>12/30 至 30/30</w:t>
            </w:r>
          </w:p>
        </w:tc>
        <w:tc>
          <w:tcPr>
            <w:tcW w:w="620" w:type="dxa"/>
            <w:shd w:val="clear" w:color="auto" w:fill="F5F8FA"/>
            <w:tcMar>
              <w:top w:w="60" w:type="dxa"/>
              <w:left w:w="70" w:type="dxa"/>
              <w:bottom w:w="60" w:type="dxa"/>
              <w:right w:w="70" w:type="dxa"/>
            </w:tcMar>
            <w:vAlign w:val="center"/>
          </w:tcPr>
          <w:p w14:paraId="7F24CA2A">
            <w:pPr>
              <w:spacing w:before="0" w:after="0" w:line="240" w:lineRule="auto"/>
              <w:ind w:firstLine="0"/>
              <w:jc w:val="center"/>
            </w:pPr>
            <w:r>
              <w:rPr w:hint="eastAsia">
                <w:rFonts w:hint="eastAsia" w:ascii="Times New Roman" w:hAnsi="Times New Roman" w:eastAsia="宋体" w:cs="Times New Roman"/>
                <w:sz w:val="15"/>
                <w:szCs w:val="16"/>
              </w:rPr>
              <w:t>12</w:t>
            </w:r>
          </w:p>
        </w:tc>
        <w:tc>
          <w:tcPr>
            <w:tcW w:w="2000" w:type="dxa"/>
            <w:shd w:val="clear" w:color="auto" w:fill="F5F8FA"/>
            <w:tcMar>
              <w:top w:w="60" w:type="dxa"/>
              <w:left w:w="70" w:type="dxa"/>
              <w:bottom w:w="60" w:type="dxa"/>
              <w:right w:w="70" w:type="dxa"/>
            </w:tcMar>
            <w:vAlign w:val="center"/>
          </w:tcPr>
          <w:p w14:paraId="7F24CA2C">
            <w:pPr>
              <w:spacing w:before="0" w:after="0" w:line="240" w:lineRule="auto"/>
              <w:ind w:firstLine="0"/>
              <w:jc w:val="center"/>
            </w:pPr>
            <w:r>
              <w:rPr w:hint="eastAsia">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spacing w:before="0" w:after="0" w:line="240" w:lineRule="auto"/>
              <w:ind w:firstLine="0"/>
              <w:jc w:val="center"/>
            </w:pPr>
            <w:r>
              <w:rPr w:hint="eastAsia">
                <w:rFonts w:hint="eastAsia" w:ascii="Times New Roman" w:hAnsi="Times New Roman" w:eastAsia="宋体" w:cs="Times New Roman"/>
                <w:sz w:val="15"/>
                <w:szCs w:val="16"/>
              </w:rPr>
              <w:t>E</w:t>
            </w:r>
          </w:p>
        </w:tc>
        <w:tc>
          <w:tcPr>
            <w:tcW w:w="1120" w:type="dxa"/>
            <w:shd w:val="clear" w:color="auto" w:fill="FFFFFF"/>
            <w:tcMar>
              <w:top w:w="60" w:type="dxa"/>
              <w:left w:w="70" w:type="dxa"/>
              <w:bottom w:w="60" w:type="dxa"/>
              <w:right w:w="70" w:type="dxa"/>
            </w:tcMar>
            <w:vAlign w:val="center"/>
          </w:tcPr>
          <w:p w14:paraId="7F24CA30">
            <w:pPr>
              <w:spacing w:before="0" w:after="0" w:line="240" w:lineRule="auto"/>
              <w:ind w:firstLine="0"/>
              <w:jc w:val="center"/>
            </w:pPr>
            <w:r>
              <w:rPr w:hint="eastAsia">
                <w:rFonts w:hint="eastAsia" w:ascii="Times New Roman" w:hAnsi="Times New Roman" w:eastAsia="宋体" w:cs="Times New Roman"/>
                <w:sz w:val="15"/>
                <w:szCs w:val="16"/>
              </w:rPr>
              <w:t>1/30 至 30/30</w:t>
            </w:r>
          </w:p>
        </w:tc>
        <w:tc>
          <w:tcPr>
            <w:tcW w:w="620" w:type="dxa"/>
            <w:shd w:val="clear" w:color="auto" w:fill="FFFFFF"/>
            <w:tcMar>
              <w:top w:w="60" w:type="dxa"/>
              <w:left w:w="70" w:type="dxa"/>
              <w:bottom w:w="60" w:type="dxa"/>
              <w:right w:w="70" w:type="dxa"/>
            </w:tcMar>
            <w:vAlign w:val="center"/>
          </w:tcPr>
          <w:p w14:paraId="7F24CA32">
            <w:pPr>
              <w:spacing w:before="0" w:after="0" w:line="240" w:lineRule="auto"/>
              <w:ind w:firstLine="0"/>
              <w:jc w:val="center"/>
            </w:pPr>
            <w:r>
              <w:rPr w:hint="eastAsia">
                <w:rFonts w:hint="eastAsia" w:ascii="Times New Roman" w:hAnsi="Times New Roman" w:eastAsia="宋体" w:cs="Times New Roman"/>
                <w:sz w:val="15"/>
                <w:szCs w:val="16"/>
              </w:rPr>
              <w:t>1</w:t>
            </w:r>
          </w:p>
        </w:tc>
        <w:tc>
          <w:tcPr>
            <w:tcW w:w="2000" w:type="dxa"/>
            <w:shd w:val="clear" w:color="auto" w:fill="FFFFFF"/>
            <w:tcMar>
              <w:top w:w="60" w:type="dxa"/>
              <w:left w:w="70" w:type="dxa"/>
              <w:bottom w:w="60" w:type="dxa"/>
              <w:right w:w="70" w:type="dxa"/>
            </w:tcMar>
            <w:vAlign w:val="center"/>
          </w:tcPr>
          <w:p w14:paraId="7F24CA34">
            <w:pPr>
              <w:spacing w:before="0" w:after="0" w:line="240" w:lineRule="auto"/>
              <w:ind w:firstLine="0"/>
              <w:jc w:val="center"/>
            </w:pPr>
            <w:r>
              <w:rPr w:hint="eastAsia">
                <w:rFonts w:hint="eastAsia" w:ascii="Times New Roman" w:hAnsi="Times New Roman" w:eastAsia="宋体" w:cs="Times New Roman"/>
                <w:sz w:val="15"/>
                <w:szCs w:val="16"/>
              </w:rPr>
              <w:t>118 405.00 至 117 622.50</w:t>
            </w:r>
          </w:p>
        </w:tc>
      </w:tr>
    </w:tbl>
    <w:p w14:paraId="518149D9">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表7 BGA与MGA的配对统计结果（含秩双列相关系数）</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00"/>
        <w:gridCol w:w="620"/>
        <w:gridCol w:w="194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80" w:type="dxa"/>
            <w:shd w:val="clear" w:color="auto" w:fill="D9EAF7"/>
            <w:tcMar>
              <w:top w:w="60" w:type="dxa"/>
              <w:left w:w="70" w:type="dxa"/>
              <w:bottom w:w="60" w:type="dxa"/>
              <w:right w:w="70" w:type="dxa"/>
            </w:tcMar>
            <w:vAlign w:val="center"/>
          </w:tcPr>
          <w:p w14:paraId="7F24C9D6">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1200" w:type="dxa"/>
            <w:shd w:val="clear" w:color="auto" w:fill="D9EAF7"/>
            <w:tcMar>
              <w:top w:w="60" w:type="dxa"/>
              <w:left w:w="70" w:type="dxa"/>
              <w:bottom w:w="60" w:type="dxa"/>
              <w:right w:w="70" w:type="dxa"/>
            </w:tcMar>
            <w:vAlign w:val="center"/>
          </w:tcPr>
          <w:p w14:paraId="7F24C9D8">
            <w:pPr>
              <w:spacing w:before="0" w:after="0" w:line="240" w:lineRule="auto"/>
              <w:ind w:firstLine="0"/>
              <w:jc w:val="center"/>
            </w:pPr>
            <w:r>
              <w:rPr w:hint="eastAsia">
                <w:rFonts w:hint="eastAsia" w:ascii="Times New Roman" w:hAnsi="Times New Roman" w:eastAsia="宋体" w:cs="Times New Roman"/>
                <w:b/>
                <w:sz w:val="15"/>
                <w:szCs w:val="16"/>
              </w:rPr>
              <w:t>可行率配对 b/c；Holm p</w:t>
            </w:r>
          </w:p>
        </w:tc>
        <w:tc>
          <w:tcPr>
            <w:tcW w:w="620" w:type="dxa"/>
            <w:shd w:val="clear" w:color="auto" w:fill="D9EAF7"/>
            <w:tcMar>
              <w:top w:w="60" w:type="dxa"/>
              <w:left w:w="70" w:type="dxa"/>
              <w:bottom w:w="60" w:type="dxa"/>
              <w:right w:w="70" w:type="dxa"/>
            </w:tcMar>
            <w:vAlign w:val="center"/>
          </w:tcPr>
          <w:p w14:paraId="7F24C9DA">
            <w:pPr>
              <w:spacing w:before="0" w:after="0" w:line="240" w:lineRule="auto"/>
              <w:ind w:firstLine="0"/>
              <w:jc w:val="center"/>
            </w:pPr>
            <w:r>
              <w:rPr w:hint="eastAsia">
                <w:rFonts w:hint="eastAsia" w:ascii="Times New Roman" w:hAnsi="Times New Roman" w:eastAsia="宋体" w:cs="Times New Roman"/>
                <w:b/>
                <w:sz w:val="15"/>
                <w:szCs w:val="16"/>
              </w:rPr>
              <w:t>共同成功 n</w:t>
            </w:r>
          </w:p>
        </w:tc>
        <w:tc>
          <w:tcPr>
            <w:tcW w:w="1940" w:type="dxa"/>
            <w:shd w:val="clear" w:color="auto" w:fill="D9EAF7"/>
            <w:tcMar>
              <w:top w:w="60" w:type="dxa"/>
              <w:left w:w="70" w:type="dxa"/>
              <w:bottom w:w="60" w:type="dxa"/>
              <w:right w:w="70" w:type="dxa"/>
            </w:tcMar>
            <w:vAlign w:val="center"/>
          </w:tcPr>
          <w:p w14:paraId="7F24C9DC">
            <w:pPr>
              <w:spacing w:before="0" w:after="0" w:line="240" w:lineRule="auto"/>
              <w:ind w:firstLine="0"/>
              <w:jc w:val="center"/>
            </w:pPr>
            <w:r>
              <w:rPr w:hint="eastAsia">
                <w:rFonts w:hint="eastAsia" w:ascii="Times New Roman" w:hAnsi="Times New Roman" w:eastAsia="宋体" w:cs="Times New Roman"/>
                <w:b/>
                <w:sz w:val="15"/>
                <w:szCs w:val="16"/>
              </w:rPr>
              <w:t>成本HL变化率（95%CI）；r_rb</w:t>
            </w:r>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FFFFF"/>
            <w:tcMar>
              <w:top w:w="60" w:type="dxa"/>
              <w:left w:w="70" w:type="dxa"/>
              <w:bottom w:w="60" w:type="dxa"/>
              <w:right w:w="70" w:type="dxa"/>
            </w:tcMar>
            <w:vAlign w:val="center"/>
          </w:tcPr>
          <w:p w14:paraId="7F24C9DE">
            <w:pPr>
              <w:spacing w:before="0" w:after="0" w:line="240" w:lineRule="auto"/>
              <w:ind w:firstLine="0"/>
              <w:jc w:val="center"/>
            </w:pPr>
            <w:r>
              <w:rPr w:hint="eastAsia">
                <w:rFonts w:hint="eastAsia" w:ascii="Times New Roman" w:hAnsi="Times New Roman" w:eastAsia="宋体" w:cs="Times New Roman"/>
                <w:sz w:val="15"/>
                <w:szCs w:val="16"/>
              </w:rPr>
              <w:t>A</w:t>
            </w:r>
          </w:p>
        </w:tc>
        <w:tc>
          <w:tcPr>
            <w:tcW w:w="1200" w:type="dxa"/>
            <w:shd w:val="clear" w:color="auto" w:fill="FFFFFF"/>
            <w:tcMar>
              <w:top w:w="60" w:type="dxa"/>
              <w:left w:w="70" w:type="dxa"/>
              <w:bottom w:w="60" w:type="dxa"/>
              <w:right w:w="70" w:type="dxa"/>
            </w:tcMar>
            <w:vAlign w:val="center"/>
          </w:tcPr>
          <w:p w14:paraId="7F24C9E0">
            <w:pPr>
              <w:spacing w:before="0" w:after="0" w:line="240" w:lineRule="auto"/>
              <w:ind w:firstLine="0"/>
              <w:jc w:val="center"/>
            </w:pPr>
            <w:r>
              <w:rPr w:hint="eastAsia">
                <w:rFonts w:hint="eastAsia" w:ascii="Times New Roman" w:hAnsi="Times New Roman" w:eastAsia="宋体" w:cs="Times New Roman"/>
                <w:sz w:val="15"/>
                <w:szCs w:val="16"/>
              </w:rPr>
              <w:t>3/4；1.000</w:t>
            </w:r>
          </w:p>
        </w:tc>
        <w:tc>
          <w:tcPr>
            <w:tcW w:w="620" w:type="dxa"/>
            <w:shd w:val="clear" w:color="auto" w:fill="FFFFFF"/>
            <w:tcMar>
              <w:top w:w="60" w:type="dxa"/>
              <w:left w:w="70" w:type="dxa"/>
              <w:bottom w:w="60" w:type="dxa"/>
              <w:right w:w="70" w:type="dxa"/>
            </w:tcMar>
            <w:vAlign w:val="center"/>
          </w:tcPr>
          <w:p w14:paraId="7F24C9E2">
            <w:pPr>
              <w:spacing w:before="0" w:after="0" w:line="240" w:lineRule="auto"/>
              <w:ind w:firstLine="0"/>
              <w:jc w:val="center"/>
            </w:pPr>
            <w:r>
              <w:rPr w:hint="eastAsia">
                <w:rFonts w:hint="eastAsia" w:ascii="Times New Roman" w:hAnsi="Times New Roman" w:eastAsia="宋体" w:cs="Times New Roman"/>
                <w:sz w:val="15"/>
                <w:szCs w:val="16"/>
              </w:rPr>
              <w:t>2</w:t>
            </w:r>
          </w:p>
        </w:tc>
        <w:tc>
          <w:tcPr>
            <w:tcW w:w="1940" w:type="dxa"/>
            <w:shd w:val="clear" w:color="auto" w:fill="FFFFFF"/>
            <w:tcMar>
              <w:top w:w="60" w:type="dxa"/>
              <w:left w:w="70" w:type="dxa"/>
              <w:bottom w:w="60" w:type="dxa"/>
              <w:right w:w="70" w:type="dxa"/>
            </w:tcMar>
            <w:vAlign w:val="center"/>
          </w:tcPr>
          <w:p w14:paraId="7F24C9E4">
            <w:pPr>
              <w:spacing w:before="0" w:after="0" w:line="240" w:lineRule="auto"/>
              <w:ind w:firstLine="0"/>
              <w:jc w:val="center"/>
            </w:pPr>
            <w:r>
              <w:rPr w:hint="eastAsia">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5F8FA"/>
            <w:tcMar>
              <w:top w:w="60" w:type="dxa"/>
              <w:left w:w="70" w:type="dxa"/>
              <w:bottom w:w="60" w:type="dxa"/>
              <w:right w:w="70" w:type="dxa"/>
            </w:tcMar>
            <w:vAlign w:val="center"/>
          </w:tcPr>
          <w:p w14:paraId="7F24C9E6">
            <w:pPr>
              <w:spacing w:before="0" w:after="0" w:line="240" w:lineRule="auto"/>
              <w:ind w:firstLine="0"/>
              <w:jc w:val="center"/>
            </w:pPr>
            <w:r>
              <w:rPr w:hint="eastAsia">
                <w:rFonts w:hint="eastAsia" w:ascii="Times New Roman" w:hAnsi="Times New Roman" w:eastAsia="宋体" w:cs="Times New Roman"/>
                <w:sz w:val="15"/>
                <w:szCs w:val="16"/>
              </w:rPr>
              <w:t>B</w:t>
            </w:r>
          </w:p>
        </w:tc>
        <w:tc>
          <w:tcPr>
            <w:tcW w:w="1200" w:type="dxa"/>
            <w:shd w:val="clear" w:color="auto" w:fill="F5F8FA"/>
            <w:tcMar>
              <w:top w:w="60" w:type="dxa"/>
              <w:left w:w="70" w:type="dxa"/>
              <w:bottom w:w="60" w:type="dxa"/>
              <w:right w:w="70" w:type="dxa"/>
            </w:tcMar>
            <w:vAlign w:val="center"/>
          </w:tcPr>
          <w:p w14:paraId="7F24C9E8">
            <w:pPr>
              <w:spacing w:before="0" w:after="0" w:line="240" w:lineRule="auto"/>
              <w:ind w:firstLine="0"/>
              <w:jc w:val="center"/>
            </w:pPr>
            <w:r>
              <w:rPr w:hint="eastAsia">
                <w:rFonts w:hint="eastAsia" w:ascii="Times New Roman" w:hAnsi="Times New Roman" w:eastAsia="宋体" w:cs="Times New Roman"/>
                <w:sz w:val="15"/>
                <w:szCs w:val="16"/>
              </w:rPr>
              <w:t>4/10；0.539</w:t>
            </w:r>
          </w:p>
        </w:tc>
        <w:tc>
          <w:tcPr>
            <w:tcW w:w="620" w:type="dxa"/>
            <w:shd w:val="clear" w:color="auto" w:fill="F5F8FA"/>
            <w:tcMar>
              <w:top w:w="60" w:type="dxa"/>
              <w:left w:w="70" w:type="dxa"/>
              <w:bottom w:w="60" w:type="dxa"/>
              <w:right w:w="70" w:type="dxa"/>
            </w:tcMar>
            <w:vAlign w:val="center"/>
          </w:tcPr>
          <w:p w14:paraId="7F24C9EA">
            <w:pPr>
              <w:spacing w:before="0" w:after="0" w:line="240" w:lineRule="auto"/>
              <w:ind w:firstLine="0"/>
              <w:jc w:val="center"/>
            </w:pPr>
            <w:r>
              <w:rPr w:hint="eastAsia">
                <w:rFonts w:hint="eastAsia" w:ascii="Times New Roman" w:hAnsi="Times New Roman" w:eastAsia="宋体" w:cs="Times New Roman"/>
                <w:sz w:val="15"/>
                <w:szCs w:val="16"/>
              </w:rPr>
              <w:t>14</w:t>
            </w:r>
          </w:p>
        </w:tc>
        <w:tc>
          <w:tcPr>
            <w:tcW w:w="1940" w:type="dxa"/>
            <w:shd w:val="clear" w:color="auto" w:fill="F5F8FA"/>
            <w:tcMar>
              <w:top w:w="60" w:type="dxa"/>
              <w:left w:w="70" w:type="dxa"/>
              <w:bottom w:w="60" w:type="dxa"/>
              <w:right w:w="70" w:type="dxa"/>
            </w:tcMar>
            <w:vAlign w:val="center"/>
          </w:tcPr>
          <w:p w14:paraId="7F24C9EC">
            <w:pPr>
              <w:spacing w:before="0" w:after="0" w:line="240" w:lineRule="auto"/>
              <w:ind w:firstLine="0"/>
              <w:jc w:val="center"/>
            </w:pPr>
            <w:r>
              <w:rPr w:hint="eastAsia">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FFFFF"/>
            <w:tcMar>
              <w:top w:w="60" w:type="dxa"/>
              <w:left w:w="70" w:type="dxa"/>
              <w:bottom w:w="60" w:type="dxa"/>
              <w:right w:w="70" w:type="dxa"/>
            </w:tcMar>
            <w:vAlign w:val="center"/>
          </w:tcPr>
          <w:p w14:paraId="7F24C9EE">
            <w:pPr>
              <w:spacing w:before="0" w:after="0" w:line="240" w:lineRule="auto"/>
              <w:ind w:firstLine="0"/>
              <w:jc w:val="center"/>
            </w:pPr>
            <w:r>
              <w:rPr w:hint="eastAsia">
                <w:rFonts w:hint="eastAsia" w:ascii="Times New Roman" w:hAnsi="Times New Roman" w:eastAsia="宋体" w:cs="Times New Roman"/>
                <w:sz w:val="15"/>
                <w:szCs w:val="16"/>
              </w:rPr>
              <w:t>C</w:t>
            </w:r>
          </w:p>
        </w:tc>
        <w:tc>
          <w:tcPr>
            <w:tcW w:w="1200" w:type="dxa"/>
            <w:shd w:val="clear" w:color="auto" w:fill="FFFFFF"/>
            <w:tcMar>
              <w:top w:w="60" w:type="dxa"/>
              <w:left w:w="70" w:type="dxa"/>
              <w:bottom w:w="60" w:type="dxa"/>
              <w:right w:w="70" w:type="dxa"/>
            </w:tcMar>
            <w:vAlign w:val="center"/>
          </w:tcPr>
          <w:p w14:paraId="7F24C9F0">
            <w:pPr>
              <w:spacing w:before="0" w:after="0" w:line="240" w:lineRule="auto"/>
              <w:ind w:firstLine="0"/>
              <w:jc w:val="center"/>
            </w:pPr>
            <w:r>
              <w:rPr w:hint="eastAsia">
                <w:rFonts w:hint="eastAsia" w:ascii="Times New Roman" w:hAnsi="Times New Roman" w:eastAsia="宋体" w:cs="Times New Roman"/>
                <w:sz w:val="15"/>
                <w:szCs w:val="16"/>
              </w:rPr>
              <w:t>0/0；1.000</w:t>
            </w:r>
          </w:p>
        </w:tc>
        <w:tc>
          <w:tcPr>
            <w:tcW w:w="620" w:type="dxa"/>
            <w:shd w:val="clear" w:color="auto" w:fill="FFFFFF"/>
            <w:tcMar>
              <w:top w:w="60" w:type="dxa"/>
              <w:left w:w="70" w:type="dxa"/>
              <w:bottom w:w="60" w:type="dxa"/>
              <w:right w:w="70" w:type="dxa"/>
            </w:tcMar>
            <w:vAlign w:val="center"/>
          </w:tcPr>
          <w:p w14:paraId="7F24C9F2">
            <w:pPr>
              <w:spacing w:before="0" w:after="0" w:line="240" w:lineRule="auto"/>
              <w:ind w:firstLine="0"/>
              <w:jc w:val="center"/>
            </w:pPr>
            <w:r>
              <w:rPr w:hint="eastAsia">
                <w:rFonts w:hint="eastAsia" w:ascii="Times New Roman" w:hAnsi="Times New Roman" w:eastAsia="宋体" w:cs="Times New Roman"/>
                <w:sz w:val="15"/>
                <w:szCs w:val="16"/>
              </w:rPr>
              <w:t>30</w:t>
            </w:r>
          </w:p>
        </w:tc>
        <w:tc>
          <w:tcPr>
            <w:tcW w:w="1940" w:type="dxa"/>
            <w:shd w:val="clear" w:color="auto" w:fill="FFFFFF"/>
            <w:tcMar>
              <w:top w:w="60" w:type="dxa"/>
              <w:left w:w="70" w:type="dxa"/>
              <w:bottom w:w="60" w:type="dxa"/>
              <w:right w:w="70" w:type="dxa"/>
            </w:tcMar>
            <w:vAlign w:val="center"/>
          </w:tcPr>
          <w:p w14:paraId="7F24C9F4">
            <w:pPr>
              <w:spacing w:before="0" w:after="0" w:line="240" w:lineRule="auto"/>
              <w:ind w:firstLine="0"/>
              <w:jc w:val="center"/>
            </w:pPr>
            <w:r>
              <w:rPr w:hint="eastAsia">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5F8FA"/>
            <w:tcMar>
              <w:top w:w="60" w:type="dxa"/>
              <w:left w:w="70" w:type="dxa"/>
              <w:bottom w:w="60" w:type="dxa"/>
              <w:right w:w="70" w:type="dxa"/>
            </w:tcMar>
            <w:vAlign w:val="center"/>
          </w:tcPr>
          <w:p w14:paraId="7F24C9F6">
            <w:pPr>
              <w:spacing w:before="0" w:after="0" w:line="240" w:lineRule="auto"/>
              <w:ind w:firstLine="0"/>
              <w:jc w:val="center"/>
            </w:pPr>
            <w:r>
              <w:rPr w:hint="eastAsia">
                <w:rFonts w:hint="eastAsia" w:ascii="Times New Roman" w:hAnsi="Times New Roman" w:eastAsia="宋体" w:cs="Times New Roman"/>
                <w:sz w:val="15"/>
                <w:szCs w:val="16"/>
              </w:rPr>
              <w:t>D</w:t>
            </w:r>
          </w:p>
        </w:tc>
        <w:tc>
          <w:tcPr>
            <w:tcW w:w="1200" w:type="dxa"/>
            <w:shd w:val="clear" w:color="auto" w:fill="F5F8FA"/>
            <w:tcMar>
              <w:top w:w="60" w:type="dxa"/>
              <w:left w:w="70" w:type="dxa"/>
              <w:bottom w:w="60" w:type="dxa"/>
              <w:right w:w="70" w:type="dxa"/>
            </w:tcMar>
            <w:vAlign w:val="center"/>
          </w:tcPr>
          <w:p w14:paraId="7F24C9F8">
            <w:pPr>
              <w:spacing w:before="0" w:after="0" w:line="240" w:lineRule="auto"/>
              <w:ind w:firstLine="0"/>
              <w:jc w:val="center"/>
            </w:pPr>
            <w:r>
              <w:rPr>
                <w:rFonts w:ascii="Times New Roman" w:hAnsi="Times New Roman"/>
                <w:sz w:val="15"/>
              </w:rPr>
              <w:t>0/18；</w:t>
            </w:r>
            <w:r>
              <w:rPr>
                <w:rFonts w:ascii="Cambria Math" w:hAnsi="Cambria Math" w:eastAsia="Cambria Math"/>
                <w:sz w:val="15"/>
              </w:rPr>
              <w:t>3.05×10</w:t>
            </w:r>
            <w:r>
              <w:rPr>
                <w:rFonts w:ascii="Cambria Math" w:hAnsi="Cambria Math" w:eastAsia="Cambria Math"/>
                <w:sz w:val="15"/>
                <w:vertAlign w:val="superscript"/>
              </w:rPr>
              <w:t>-5</w:t>
            </w:r>
          </w:p>
        </w:tc>
        <w:tc>
          <w:tcPr>
            <w:tcW w:w="620" w:type="dxa"/>
            <w:shd w:val="clear" w:color="auto" w:fill="F5F8FA"/>
            <w:tcMar>
              <w:top w:w="60" w:type="dxa"/>
              <w:left w:w="70" w:type="dxa"/>
              <w:bottom w:w="60" w:type="dxa"/>
              <w:right w:w="70" w:type="dxa"/>
            </w:tcMar>
            <w:vAlign w:val="center"/>
          </w:tcPr>
          <w:p w14:paraId="7F24C9FA">
            <w:pPr>
              <w:spacing w:before="0" w:after="0" w:line="240" w:lineRule="auto"/>
              <w:ind w:firstLine="0"/>
              <w:jc w:val="center"/>
            </w:pPr>
            <w:r>
              <w:rPr w:hint="eastAsia">
                <w:rFonts w:hint="eastAsia" w:ascii="Times New Roman" w:hAnsi="Times New Roman" w:eastAsia="宋体" w:cs="Times New Roman"/>
                <w:sz w:val="15"/>
                <w:szCs w:val="16"/>
              </w:rPr>
              <w:t>12</w:t>
            </w:r>
          </w:p>
        </w:tc>
        <w:tc>
          <w:tcPr>
            <w:tcW w:w="1940" w:type="dxa"/>
            <w:shd w:val="clear" w:color="auto" w:fill="F5F8FA"/>
            <w:tcMar>
              <w:top w:w="60" w:type="dxa"/>
              <w:left w:w="70" w:type="dxa"/>
              <w:bottom w:w="60" w:type="dxa"/>
              <w:right w:w="70" w:type="dxa"/>
            </w:tcMar>
            <w:vAlign w:val="center"/>
          </w:tcPr>
          <w:p w14:paraId="7F24C9FC">
            <w:pPr>
              <w:spacing w:before="0" w:after="0" w:line="240" w:lineRule="auto"/>
              <w:ind w:firstLine="0"/>
              <w:jc w:val="center"/>
            </w:pPr>
            <w:r>
              <w:rPr w:hint="eastAsia">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FFFFF"/>
            <w:tcMar>
              <w:top w:w="60" w:type="dxa"/>
              <w:left w:w="70" w:type="dxa"/>
              <w:bottom w:w="60" w:type="dxa"/>
              <w:right w:w="70" w:type="dxa"/>
            </w:tcMar>
            <w:vAlign w:val="center"/>
          </w:tcPr>
          <w:p w14:paraId="7F24C9FE">
            <w:pPr>
              <w:spacing w:before="0" w:after="0" w:line="240" w:lineRule="auto"/>
              <w:ind w:firstLine="0"/>
              <w:jc w:val="center"/>
            </w:pPr>
            <w:r>
              <w:rPr w:hint="eastAsia">
                <w:rFonts w:hint="eastAsia" w:ascii="Times New Roman" w:hAnsi="Times New Roman" w:eastAsia="宋体" w:cs="Times New Roman"/>
                <w:sz w:val="15"/>
                <w:szCs w:val="16"/>
              </w:rPr>
              <w:t>E</w:t>
            </w:r>
          </w:p>
        </w:tc>
        <w:tc>
          <w:tcPr>
            <w:tcW w:w="1200" w:type="dxa"/>
            <w:shd w:val="clear" w:color="auto" w:fill="FFFFFF"/>
            <w:tcMar>
              <w:top w:w="60" w:type="dxa"/>
              <w:left w:w="70" w:type="dxa"/>
              <w:bottom w:w="60" w:type="dxa"/>
              <w:right w:w="70" w:type="dxa"/>
            </w:tcMar>
            <w:vAlign w:val="center"/>
          </w:tcPr>
          <w:p w14:paraId="7F24CA00">
            <w:pPr>
              <w:spacing w:before="0" w:after="0" w:line="240" w:lineRule="auto"/>
              <w:ind w:firstLine="0"/>
              <w:jc w:val="center"/>
            </w:pPr>
            <w:r>
              <w:rPr>
                <w:rFonts w:ascii="Times New Roman" w:hAnsi="Times New Roman"/>
                <w:sz w:val="15"/>
              </w:rPr>
              <w:t>0/29；</w:t>
            </w:r>
            <w:r>
              <w:rPr>
                <w:rFonts w:ascii="Cambria Math" w:hAnsi="Cambria Math" w:eastAsia="Cambria Math"/>
                <w:sz w:val="15"/>
              </w:rPr>
              <w:t>1.86×10</w:t>
            </w:r>
            <w:r>
              <w:rPr>
                <w:rFonts w:ascii="Cambria Math" w:hAnsi="Cambria Math" w:eastAsia="Cambria Math"/>
                <w:sz w:val="15"/>
                <w:vertAlign w:val="superscript"/>
              </w:rPr>
              <w:t>-8</w:t>
            </w:r>
          </w:p>
        </w:tc>
        <w:tc>
          <w:tcPr>
            <w:tcW w:w="620" w:type="dxa"/>
            <w:shd w:val="clear" w:color="auto" w:fill="FFFFFF"/>
            <w:tcMar>
              <w:top w:w="60" w:type="dxa"/>
              <w:left w:w="70" w:type="dxa"/>
              <w:bottom w:w="60" w:type="dxa"/>
              <w:right w:w="70" w:type="dxa"/>
            </w:tcMar>
            <w:vAlign w:val="center"/>
          </w:tcPr>
          <w:p w14:paraId="7F24CA02">
            <w:pPr>
              <w:spacing w:before="0" w:after="0" w:line="240" w:lineRule="auto"/>
              <w:ind w:firstLine="0"/>
              <w:jc w:val="center"/>
            </w:pPr>
            <w:r>
              <w:rPr w:hint="eastAsia">
                <w:rFonts w:hint="eastAsia" w:ascii="Times New Roman" w:hAnsi="Times New Roman" w:eastAsia="宋体" w:cs="Times New Roman"/>
                <w:sz w:val="15"/>
                <w:szCs w:val="16"/>
              </w:rPr>
              <w:t>1</w:t>
            </w:r>
          </w:p>
        </w:tc>
        <w:tc>
          <w:tcPr>
            <w:tcW w:w="1940" w:type="dxa"/>
            <w:shd w:val="clear" w:color="auto" w:fill="FFFFFF"/>
            <w:tcMar>
              <w:top w:w="60" w:type="dxa"/>
              <w:left w:w="70" w:type="dxa"/>
              <w:bottom w:w="60" w:type="dxa"/>
              <w:right w:w="70" w:type="dxa"/>
            </w:tcMar>
            <w:vAlign w:val="center"/>
          </w:tcPr>
          <w:p w14:paraId="7F24CA04">
            <w:pPr>
              <w:spacing w:before="0" w:after="0" w:line="240" w:lineRule="auto"/>
              <w:ind w:firstLine="0"/>
              <w:jc w:val="center"/>
            </w:pPr>
            <w:r>
              <w:rPr w:hint="eastAsia">
                <w:rFonts w:hint="eastAsia" w:ascii="Times New Roman" w:hAnsi="Times New Roman" w:eastAsia="宋体" w:cs="Times New Roman"/>
                <w:sz w:val="15"/>
                <w:szCs w:val="16"/>
              </w:rPr>
              <w:t>-</w:t>
            </w:r>
          </w:p>
        </w:tc>
      </w:tr>
    </w:tbl>
    <w:p w14:paraId="4E6E44C9">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4.3 扩展对照与策略变体分析</w:t>
      </w:r>
    </w:p>
    <w:p w14:paraId="496AB451">
      <w:pPr>
        <w:spacing w:before="0" w:after="0" w:line="276" w:lineRule="auto"/>
        <w:ind w:firstLine="360"/>
        <w:jc w:val="both"/>
      </w:pPr>
      <w:r>
        <w:rPr w:hint="eastAsia">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40" w:after="20"/>
        <w:jc w:val="center"/>
      </w:pPr>
      <w:r>
        <w:rPr>
          <w:rFonts w:hint="eastAsia" w:ascii="Times New Roman" w:hAnsi="Times New Roman" w:eastAsia="宋体" w:cs="Times New Roman"/>
          <w:color w:val="000000"/>
        </w:rPr>
        <w:drawing>
          <wp:inline distT="0" distB="0" distL="114300" distR="114300">
            <wp:extent cx="2834640" cy="1049020"/>
            <wp:effectExtent l="0" t="0" r="0" b="13335"/>
            <wp:docPr id="6" name="Picture 6" descr="预定义策略变体的严格可行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预定义策略变体的严格可行率图"/>
                    <pic:cNvPicPr>
                      <a:picLocks noChangeAspect="1"/>
                    </pic:cNvPicPr>
                  </pic:nvPicPr>
                  <pic:blipFill>
                    <a:blip r:embed="rId16"/>
                    <a:stretch>
                      <a:fillRect/>
                    </a:stretch>
                  </pic:blipFill>
                  <pic:spPr>
                    <a:xfrm>
                      <a:off x="0" y="0"/>
                      <a:ext cx="2834640" cy="1049211"/>
                    </a:xfrm>
                    <a:prstGeom prst="rect">
                      <a:avLst/>
                    </a:prstGeom>
                  </pic:spPr>
                </pic:pic>
              </a:graphicData>
            </a:graphic>
          </wp:inline>
        </w:drawing>
      </w:r>
    </w:p>
    <w:p w14:paraId="078238C9">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图6 独立扩展批次中预定义策略变体的严格可行率（描述性结果；图中展示场景A、B、D；场景C均为100.0%，场景E扩展均为0.0%，完整结果见表8）</w:t>
      </w:r>
    </w:p>
    <w:p w14:paraId="423459EF">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drawing>
          <wp:inline distT="0" distB="0" distL="114300" distR="114300">
            <wp:extent cx="2834640" cy="1060450"/>
            <wp:effectExtent l="0" t="0" r="12700" b="5715"/>
            <wp:docPr id="9" name="Picture 9" descr="主场景多样性描述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主场景多样性描述统计"/>
                    <pic:cNvPicPr>
                      <a:picLocks noChangeAspect="1"/>
                    </pic:cNvPicPr>
                  </pic:nvPicPr>
                  <pic:blipFill>
                    <a:blip r:embed="rId17"/>
                    <a:stretch>
                      <a:fillRect/>
                    </a:stretch>
                  </pic:blipFill>
                  <pic:spPr>
                    <a:xfrm>
                      <a:off x="0" y="0"/>
                      <a:ext cx="2834640" cy="1060778"/>
                    </a:xfrm>
                    <a:prstGeom prst="rect">
                      <a:avLst/>
                    </a:prstGeom>
                  </pic:spPr>
                </pic:pic>
              </a:graphicData>
            </a:graphic>
          </wp:inline>
        </w:drawing>
      </w:r>
      <w:r>
        <w:rPr w:hint="eastAsia">
          <w:rFonts w:hint="eastAsia" w:ascii="Times New Roman" w:hAnsi="Times New Roman" w:eastAsia="宋体" w:cs="Times New Roman"/>
          <w:b/>
          <w:color w:val="000000"/>
          <w:sz w:val="18"/>
          <w:szCs w:val="18"/>
        </w:rPr>
        <w:br w:type="textWrapping"/>
      </w:r>
      <w:r>
        <w:rPr w:hint="eastAsia">
          <w:rFonts w:hint="eastAsia" w:ascii="Times New Roman" w:hAnsi="Times New Roman" w:eastAsia="宋体" w:cs="Times New Roman"/>
          <w:b w:val="0"/>
          <w:bCs/>
          <w:color w:val="000000"/>
          <w:sz w:val="18"/>
          <w:szCs w:val="18"/>
        </w:rPr>
        <w:t>图7 五个主场景的工作种群与严格档案多样性描述统计</w:t>
      </w:r>
      <w:r>
        <w:rPr w:hint="eastAsia">
          <w:rFonts w:hint="eastAsia" w:ascii="Times New Roman" w:hAnsi="Times New Roman" w:eastAsia="宋体" w:cs="Times New Roman"/>
          <w:b/>
          <w:color w:val="000000"/>
          <w:sz w:val="18"/>
          <w:szCs w:val="18"/>
        </w:rPr>
        <w:br w:type="textWrapping"/>
      </w:r>
    </w:p>
    <w:p w14:paraId="2080BB35">
      <w:pPr>
        <w:keepNext/>
        <w:keepLines/>
        <w:spacing w:before="40" w:after="20" w:line="240" w:lineRule="auto"/>
        <w:ind w:firstLine="0"/>
        <w:jc w:val="center"/>
      </w:pPr>
      <w:r>
        <w:rPr w:hint="eastAsia">
          <w:rFonts w:hint="eastAsia" w:ascii="Times New Roman" w:hAnsi="Times New Roman" w:eastAsia="宋体" w:cs="Times New Roman"/>
          <w:b w:val="0"/>
          <w:bCs/>
          <w:color w:val="000000"/>
          <w:sz w:val="18"/>
          <w:szCs w:val="18"/>
        </w:rPr>
        <w:t>表8 独立扩展批次中预定义策略变体的严格可行率（%，每变体n=30；完整报告场景A至D与场景E扩展）</w:t>
      </w:r>
    </w:p>
    <w:tbl>
      <w:tblPr>
        <w:tblStyle w:val="33"/>
        <w:tblW w:w="44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780"/>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spacing w:before="0" w:after="0" w:line="240" w:lineRule="auto"/>
              <w:ind w:firstLine="0"/>
            </w:pPr>
            <w:r>
              <w:rPr w:hint="eastAsia">
                <w:rFonts w:hint="eastAsia" w:ascii="Times New Roman" w:hAnsi="Times New Roman" w:eastAsia="宋体" w:cs="Times New Roman"/>
                <w:b/>
                <w:sz w:val="15"/>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spacing w:before="0" w:after="0" w:line="240" w:lineRule="auto"/>
              <w:ind w:firstLine="0"/>
            </w:pPr>
            <w:r>
              <w:rPr w:hint="eastAsia">
                <w:rFonts w:hint="eastAsia" w:ascii="Times New Roman" w:hAnsi="Times New Roman" w:eastAsia="宋体" w:cs="Times New Roman"/>
                <w:b/>
                <w:sz w:val="15"/>
              </w:rPr>
              <w:t>基础</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spacing w:before="0" w:after="0" w:line="240" w:lineRule="auto"/>
              <w:ind w:firstLine="0"/>
            </w:pPr>
            <w:r>
              <w:rPr w:hint="eastAsia">
                <w:rFonts w:hint="eastAsia" w:ascii="Times New Roman" w:hAnsi="Times New Roman" w:eastAsia="宋体" w:cs="Times New Roman"/>
                <w:b/>
                <w:sz w:val="15"/>
              </w:rPr>
              <w:t>双档案+</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spacing w:before="0" w:after="0" w:line="240" w:lineRule="auto"/>
              <w:ind w:firstLine="0"/>
            </w:pPr>
            <w:r>
              <w:rPr w:hint="eastAsia">
                <w:rFonts w:hint="eastAsia" w:ascii="Times New Roman" w:hAnsi="Times New Roman" w:eastAsia="宋体" w:cs="Times New Roman"/>
                <w:b/>
                <w:sz w:val="15"/>
              </w:rPr>
              <w:t>+候选池</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spacing w:before="0" w:after="0" w:line="240" w:lineRule="auto"/>
              <w:ind w:firstLine="0"/>
            </w:pPr>
            <w:r>
              <w:rPr w:hint="eastAsia">
                <w:rFonts w:hint="eastAsia" w:ascii="Times New Roman" w:hAnsi="Times New Roman" w:eastAsia="宋体" w:cs="Times New Roman"/>
                <w:b/>
                <w:sz w:val="15"/>
              </w:rPr>
              <w:t>+诊断</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探测</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spacing w:before="0" w:after="0" w:line="240" w:lineRule="auto"/>
              <w:ind w:firstLine="0"/>
              <w:jc w:val="center"/>
            </w:pPr>
            <w:r>
              <w:rPr w:hint="eastAsia">
                <w:rFonts w:hint="eastAsia" w:ascii="Times New Roman" w:hAnsi="Times New Roman" w:eastAsia="宋体" w:cs="Times New Roman"/>
                <w:b/>
                <w:sz w:val="15"/>
              </w:rPr>
              <w:t>去双档案</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spacing w:before="0" w:after="0" w:line="240" w:lineRule="auto"/>
              <w:ind w:firstLine="0"/>
              <w:jc w:val="center"/>
            </w:pPr>
            <w:r>
              <w:rPr w:hint="eastAsia">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spacing w:before="0" w:after="0" w:line="240" w:lineRule="auto"/>
              <w:ind w:firstLine="0"/>
              <w:jc w:val="center"/>
            </w:pPr>
            <w:r>
              <w:rPr w:hint="eastAsia">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spacing w:before="0" w:after="0" w:line="240" w:lineRule="auto"/>
              <w:ind w:firstLine="0"/>
              <w:jc w:val="center"/>
            </w:pPr>
            <w:r>
              <w:rPr w:hint="eastAsia">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spacing w:before="0" w:after="0" w:line="240" w:lineRule="auto"/>
              <w:ind w:firstLine="0"/>
              <w:jc w:val="center"/>
            </w:pPr>
            <w:r>
              <w:rPr w:hint="eastAsia">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spacing w:before="0" w:after="0" w:line="240" w:lineRule="auto"/>
              <w:ind w:firstLine="0"/>
              <w:jc w:val="center"/>
            </w:pPr>
            <w:r>
              <w:rPr w:hint="eastAsia">
                <w:rFonts w:hint="eastAsia" w:ascii="Times New Roman" w:hAnsi="Times New Roman" w:eastAsia="宋体" w:cs="Times New Roman"/>
                <w:color w:val="000000"/>
                <w:sz w:val="15"/>
                <w:szCs w:val="16"/>
              </w:rPr>
              <w:t>43.3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spacing w:before="0" w:after="0" w:line="240" w:lineRule="auto"/>
              <w:ind w:firstLine="0"/>
              <w:jc w:val="center"/>
            </w:pPr>
            <w:r>
              <w:rPr w:hint="eastAsia">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spacing w:before="0" w:after="0" w:line="240" w:lineRule="auto"/>
              <w:ind w:firstLine="0"/>
              <w:jc w:val="center"/>
            </w:pPr>
            <w:r>
              <w:rPr w:hint="eastAsia">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spacing w:before="0" w:after="0" w:line="240" w:lineRule="auto"/>
              <w:ind w:firstLine="0"/>
              <w:jc w:val="center"/>
            </w:pPr>
            <w:r>
              <w:rPr w:hint="eastAsia">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spacing w:before="0" w:after="0" w:line="240" w:lineRule="auto"/>
              <w:ind w:firstLine="0"/>
              <w:jc w:val="center"/>
            </w:pPr>
            <w:r>
              <w:rPr w:hint="eastAsia">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spacing w:before="0" w:after="0" w:line="240" w:lineRule="auto"/>
              <w:ind w:firstLine="0"/>
              <w:jc w:val="center"/>
            </w:pPr>
            <w:r>
              <w:rPr w:hint="eastAsia">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spacing w:before="0" w:after="0" w:line="240" w:lineRule="auto"/>
              <w:ind w:firstLine="0"/>
              <w:jc w:val="center"/>
            </w:pPr>
            <w:r>
              <w:rPr w:hint="eastAsia">
                <w:rFonts w:hint="eastAsia" w:ascii="Times New Roman" w:hAnsi="Times New Roman" w:eastAsia="宋体" w:cs="Times New Roman"/>
                <w:color w:val="000000"/>
                <w:sz w:val="15"/>
                <w:szCs w:val="16"/>
              </w:rPr>
              <w:t>96.7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spacing w:before="0" w:after="0" w:line="240" w:lineRule="auto"/>
              <w:ind w:firstLine="0"/>
              <w:jc w:val="center"/>
            </w:pPr>
            <w:r>
              <w:rPr w:hint="eastAsia">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spacing w:before="0" w:after="0" w:line="240" w:lineRule="auto"/>
              <w:ind w:firstLine="0"/>
              <w:jc w:val="center"/>
            </w:pPr>
            <w:r>
              <w:rPr w:hint="eastAsia">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spacing w:before="0" w:after="0" w:line="240" w:lineRule="auto"/>
              <w:ind w:firstLine="0"/>
              <w:jc w:val="center"/>
            </w:pPr>
            <w:r>
              <w:rPr w:hint="eastAsia">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spacing w:before="0" w:after="0" w:line="240" w:lineRule="auto"/>
              <w:ind w:firstLine="0"/>
              <w:jc w:val="center"/>
            </w:pPr>
            <w:r>
              <w:rPr w:hint="eastAsia">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spacing w:before="0" w:after="0" w:line="240" w:lineRule="auto"/>
              <w:ind w:firstLine="0"/>
              <w:jc w:val="center"/>
            </w:pPr>
            <w:r>
              <w:rPr w:hint="eastAsia">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r>
    </w:tbl>
    <w:p w14:paraId="104D43E5">
      <w:pPr>
        <w:spacing w:after="0" w:line="276" w:lineRule="auto" w:before="0"/>
        <w:ind w:firstLine="0"/>
        <w:jc w:val="both"/>
      </w:pPr>
      <w:r>
        <w:rPr w:hint="eastAsia">
          <w:rFonts w:hint="eastAsia" w:ascii="Times New Roman" w:hAnsi="Times New Roman" w:eastAsia="宋体" w:cs="Times New Roman"/>
          <w:color w:val="000000"/>
          <w:sz w:val="15"/>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40296CC9">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4.4 多样性与失败模式</w:t>
      </w:r>
    </w:p>
    <w:p w14:paraId="2B573A2F">
      <w:pPr>
        <w:keepNext/>
        <w:spacing w:before="0" w:after="0" w:line="276" w:lineRule="auto"/>
        <w:ind w:firstLine="360"/>
        <w:jc w:val="both"/>
      </w:pPr>
      <w:r>
        <w:rPr w:hint="eastAsia">
          <w:rFonts w:hint="eastAsia" w:ascii="Times New Roman" w:hAnsi="Times New Roman" w:eastAsia="宋体" w:cs="Times New Roman"/>
          <w:color w:val="000000"/>
          <w:sz w:val="18"/>
          <w:szCs w:val="18"/>
        </w:rPr>
        <w:t>图7呈现5个主场景的描述性多样性统计。按最终工作种群平均汉明距离，BGA在5个场景中均高于MGA；严格档案的不重复完整记录签名数则随配置和是否获得严格解而变化，未呈现单向优势。因此，本文不把“多样性更高”作为MGA的实证结论，只将该指标用于解释搜索轨迹的结构差异。图8和表9进一步按失败运行最终最小超限候选的主导约束归类；其分母为未获得严格解的运行数，而非全部候选或全部评价次数。若多个归一化超限完全并列，代码按精算器输出的固定约束顺序取首项，以保证每条失败运行只归入一个类别。</w:t>
      </w:r>
    </w:p>
    <w:p w14:paraId="1879FE82">
      <w:pPr>
        <w:keepNext/>
        <w:spacing w:before="40" w:after="20"/>
        <w:jc w:val="center"/>
      </w:pPr>
      <w:r>
        <w:rPr>
          <w:rFonts w:hint="eastAsia" w:ascii="Times New Roman" w:hAnsi="Times New Roman" w:eastAsia="宋体" w:cs="Times New Roman"/>
          <w:color w:val="000000"/>
        </w:rPr>
        <w:drawing>
          <wp:inline distT="0" distB="0" distL="114300" distR="114300">
            <wp:extent cx="2834640" cy="1129665"/>
            <wp:effectExtent l="0" t="0" r="0" b="9525"/>
            <wp:docPr id="8" name="Picture 8" descr="失败运行主导约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主导约束构成"/>
                    <pic:cNvPicPr>
                      <a:picLocks noChangeAspect="1"/>
                    </pic:cNvPicPr>
                  </pic:nvPicPr>
                  <pic:blipFill>
                    <a:blip r:embed="rId18"/>
                    <a:stretch>
                      <a:fillRect/>
                    </a:stretch>
                  </pic:blipFill>
                  <pic:spPr>
                    <a:xfrm>
                      <a:off x="0" y="0"/>
                      <a:ext cx="2834640" cy="1130181"/>
                    </a:xfrm>
                    <a:prstGeom prst="rect">
                      <a:avLst/>
                    </a:prstGeom>
                  </pic:spPr>
                </pic:pic>
              </a:graphicData>
            </a:graphic>
          </wp:inline>
        </w:drawing>
      </w:r>
    </w:p>
    <w:p w14:paraId="6250AB38">
      <w:pPr>
        <w:keepNext/>
        <w:keepLines/>
        <w:spacing w:before="40" w:after="20" w:line="240" w:lineRule="auto"/>
        <w:ind w:firstLine="0"/>
        <w:jc w:val="center"/>
        <w:rPr>
          <w:b w:val="0"/>
          <w:bCs/>
        </w:rPr>
      </w:pPr>
      <w:r>
        <w:rPr>
          <w:rFonts w:ascii="Times New Roman" w:hAnsi="Times New Roman" w:eastAsia="宋体" w:cs="Times New Roman"/>
          <w:sz w:val="18"/>
        </w:rPr>
        <w:t>图8 未获得严格可行解运行的主导约束构成（描述性统计；分母为各方法未获严格解的运行数，具体计数见表9；场景D/E的MGA无失败运行，未绘制百分比条）</w:t>
      </w:r>
    </w:p>
    <w:p w14:paraId="3BF065AC">
      <w:pPr>
        <w:keepNext/>
        <w:keepLines/>
        <w:pageBreakBefore w:val="0"/>
        <w:spacing w:before="40" w:after="20" w:line="240" w:lineRule="auto"/>
        <w:ind w:firstLine="0"/>
        <w:jc w:val="center"/>
      </w:pPr>
      <w:r>
        <w:rPr w:hint="eastAsia">
          <w:rFonts w:hint="eastAsia" w:ascii="Times New Roman" w:hAnsi="Times New Roman" w:eastAsia="宋体" w:cs="Times New Roman"/>
          <w:b/>
          <w:color w:val="000000"/>
          <w:sz w:val="18"/>
          <w:szCs w:val="18"/>
        </w:rPr>
        <w:t>表9 失败运行的主要主导约束（计数/失败运行数）</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2789"/>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spacing w:before="0" w:after="0" w:line="240" w:lineRule="auto"/>
              <w:ind w:firstLine="0"/>
              <w:jc w:val="center"/>
            </w:pPr>
            <w:r>
              <w:rPr w:hint="eastAsia">
                <w:rFonts w:hint="eastAsia" w:ascii="Times New Roman" w:hAnsi="Times New Roman" w:eastAsia="宋体" w:cs="Times New Roman"/>
                <w:b/>
                <w:sz w:val="15"/>
                <w:szCs w:val="16"/>
              </w:rPr>
              <w:t>失败运行（BGA 至 MGA）</w:t>
            </w:r>
          </w:p>
        </w:tc>
        <w:tc>
          <w:tcPr>
            <w:tcW w:w="2790" w:type="dxa"/>
            <w:shd w:val="clear" w:color="auto" w:fill="D9EAF7"/>
            <w:tcMar>
              <w:top w:w="65" w:type="dxa"/>
              <w:left w:w="70" w:type="dxa"/>
              <w:bottom w:w="65" w:type="dxa"/>
              <w:right w:w="70" w:type="dxa"/>
            </w:tcMar>
            <w:vAlign w:val="center"/>
          </w:tcPr>
          <w:p w14:paraId="7F24C9B6">
            <w:pPr>
              <w:spacing w:before="0" w:after="0" w:line="240" w:lineRule="auto"/>
              <w:ind w:firstLine="0"/>
              <w:jc w:val="center"/>
            </w:pPr>
            <w:r>
              <w:rPr w:hint="eastAsia">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spacing w:before="0" w:after="0" w:line="240" w:lineRule="auto"/>
              <w:ind w:firstLine="0"/>
              <w:jc w:val="center"/>
            </w:pPr>
            <w:r>
              <w:rPr w:hint="eastAsia">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spacing w:before="0" w:after="0" w:line="240" w:lineRule="auto"/>
              <w:ind w:firstLine="0"/>
              <w:jc w:val="center"/>
            </w:pPr>
            <w:r>
              <w:rPr w:hint="eastAsia">
                <w:rFonts w:hint="eastAsia" w:ascii="Times New Roman" w:hAnsi="Times New Roman" w:eastAsia="宋体" w:cs="Times New Roman"/>
                <w:sz w:val="15"/>
                <w:szCs w:val="16"/>
              </w:rPr>
              <w:t>25 至 24</w:t>
            </w:r>
          </w:p>
        </w:tc>
        <w:tc>
          <w:tcPr>
            <w:tcW w:w="2790" w:type="dxa"/>
            <w:shd w:val="clear" w:color="auto" w:fill="FFFFFF"/>
            <w:tcMar>
              <w:top w:w="65" w:type="dxa"/>
              <w:left w:w="70" w:type="dxa"/>
              <w:bottom w:w="65" w:type="dxa"/>
              <w:right w:w="70" w:type="dxa"/>
            </w:tcMar>
            <w:vAlign w:val="center"/>
          </w:tcPr>
          <w:p w14:paraId="7F24C9BC">
            <w:pPr>
              <w:spacing w:before="0" w:after="0" w:line="240" w:lineRule="auto"/>
              <w:ind w:firstLine="0"/>
              <w:jc w:val="left"/>
            </w:pPr>
            <w:r>
              <w:rPr w:hint="eastAsia">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spacing w:before="0" w:after="0" w:line="240" w:lineRule="auto"/>
              <w:ind w:firstLine="0"/>
              <w:jc w:val="center"/>
            </w:pPr>
            <w:r>
              <w:rPr w:hint="eastAsia">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spacing w:before="0" w:after="0" w:line="240" w:lineRule="auto"/>
              <w:ind w:firstLine="0"/>
              <w:jc w:val="center"/>
            </w:pPr>
            <w:r>
              <w:rPr w:hint="eastAsia">
                <w:rFonts w:hint="eastAsia" w:ascii="Times New Roman" w:hAnsi="Times New Roman" w:eastAsia="宋体" w:cs="Times New Roman"/>
                <w:sz w:val="15"/>
                <w:szCs w:val="16"/>
              </w:rPr>
              <w:t>12 至 6</w:t>
            </w:r>
          </w:p>
        </w:tc>
        <w:tc>
          <w:tcPr>
            <w:tcW w:w="2790" w:type="dxa"/>
            <w:shd w:val="clear" w:color="auto" w:fill="F5F8FA"/>
            <w:tcMar>
              <w:top w:w="65" w:type="dxa"/>
              <w:left w:w="70" w:type="dxa"/>
              <w:bottom w:w="65" w:type="dxa"/>
              <w:right w:w="70" w:type="dxa"/>
            </w:tcMar>
            <w:vAlign w:val="center"/>
          </w:tcPr>
          <w:p w14:paraId="7F24C9C2">
            <w:pPr>
              <w:spacing w:before="0" w:after="0" w:line="240" w:lineRule="auto"/>
              <w:ind w:firstLine="0"/>
              <w:jc w:val="left"/>
            </w:pPr>
            <w:r>
              <w:rPr w:hint="eastAsia">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spacing w:before="0" w:after="0" w:line="240" w:lineRule="auto"/>
              <w:ind w:firstLine="0"/>
              <w:jc w:val="center"/>
            </w:pPr>
            <w:r>
              <w:rPr w:hint="eastAsia">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spacing w:before="0" w:after="0" w:line="240" w:lineRule="auto"/>
              <w:ind w:firstLine="0"/>
              <w:jc w:val="center"/>
            </w:pPr>
            <w:r>
              <w:rPr w:hint="eastAsia">
                <w:rFonts w:hint="eastAsia" w:ascii="Times New Roman" w:hAnsi="Times New Roman" w:eastAsia="宋体" w:cs="Times New Roman"/>
                <w:sz w:val="15"/>
                <w:szCs w:val="16"/>
              </w:rPr>
              <w:t>0 至 0</w:t>
            </w:r>
          </w:p>
        </w:tc>
        <w:tc>
          <w:tcPr>
            <w:tcW w:w="2790" w:type="dxa"/>
            <w:shd w:val="clear" w:color="auto" w:fill="FFFFFF"/>
            <w:tcMar>
              <w:top w:w="65" w:type="dxa"/>
              <w:left w:w="70" w:type="dxa"/>
              <w:bottom w:w="65" w:type="dxa"/>
              <w:right w:w="70" w:type="dxa"/>
            </w:tcMar>
            <w:vAlign w:val="center"/>
          </w:tcPr>
          <w:p w14:paraId="7F24C9C8">
            <w:pPr>
              <w:spacing w:before="0" w:after="0" w:line="240" w:lineRule="auto"/>
              <w:ind w:firstLine="0"/>
              <w:jc w:val="center"/>
            </w:pPr>
            <w:r>
              <w:rPr w:hint="eastAsia">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spacing w:before="0" w:after="0" w:line="240" w:lineRule="auto"/>
              <w:ind w:firstLine="0"/>
              <w:jc w:val="center"/>
            </w:pPr>
            <w:r>
              <w:rPr w:hint="eastAsia">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spacing w:before="0" w:after="0" w:line="240" w:lineRule="auto"/>
              <w:ind w:firstLine="0"/>
              <w:jc w:val="center"/>
            </w:pPr>
            <w:r>
              <w:rPr w:hint="eastAsia">
                <w:rFonts w:hint="eastAsia" w:ascii="Times New Roman" w:hAnsi="Times New Roman" w:eastAsia="宋体" w:cs="Times New Roman"/>
                <w:sz w:val="15"/>
                <w:szCs w:val="16"/>
              </w:rPr>
              <w:t>18 至 0</w:t>
            </w:r>
          </w:p>
        </w:tc>
        <w:tc>
          <w:tcPr>
            <w:tcW w:w="2790" w:type="dxa"/>
            <w:shd w:val="clear" w:color="auto" w:fill="F5F8FA"/>
            <w:tcMar>
              <w:top w:w="65" w:type="dxa"/>
              <w:left w:w="70" w:type="dxa"/>
              <w:bottom w:w="65" w:type="dxa"/>
              <w:right w:w="70" w:type="dxa"/>
            </w:tcMar>
            <w:vAlign w:val="center"/>
          </w:tcPr>
          <w:p w14:paraId="7F24C9CE">
            <w:pPr>
              <w:spacing w:before="0" w:after="0" w:line="240" w:lineRule="auto"/>
              <w:ind w:firstLine="0"/>
              <w:jc w:val="left"/>
            </w:pPr>
            <w:r>
              <w:rPr w:hint="eastAsia">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spacing w:before="0" w:after="0" w:line="240" w:lineRule="auto"/>
              <w:ind w:firstLine="0"/>
              <w:jc w:val="center"/>
            </w:pPr>
            <w:r>
              <w:rPr w:hint="eastAsia">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spacing w:before="0" w:after="0" w:line="240" w:lineRule="auto"/>
              <w:ind w:firstLine="0"/>
              <w:jc w:val="center"/>
            </w:pPr>
            <w:r>
              <w:rPr w:hint="eastAsia">
                <w:rFonts w:hint="eastAsia" w:ascii="Times New Roman" w:hAnsi="Times New Roman" w:eastAsia="宋体" w:cs="Times New Roman"/>
                <w:sz w:val="15"/>
                <w:szCs w:val="16"/>
              </w:rPr>
              <w:t>29 至 0</w:t>
            </w:r>
          </w:p>
        </w:tc>
        <w:tc>
          <w:tcPr>
            <w:tcW w:w="2790" w:type="dxa"/>
            <w:shd w:val="clear" w:color="auto" w:fill="FFFFFF"/>
            <w:tcMar>
              <w:top w:w="65" w:type="dxa"/>
              <w:left w:w="70" w:type="dxa"/>
              <w:bottom w:w="65" w:type="dxa"/>
              <w:right w:w="70" w:type="dxa"/>
            </w:tcMar>
            <w:vAlign w:val="center"/>
          </w:tcPr>
          <w:p w14:paraId="7F24C9D4">
            <w:pPr>
              <w:spacing w:before="0" w:after="0" w:line="240" w:lineRule="auto"/>
              <w:ind w:firstLine="0"/>
              <w:jc w:val="left"/>
            </w:pPr>
            <w:r>
              <w:rPr w:hint="eastAsia">
                <w:rFonts w:hint="eastAsia" w:ascii="Times New Roman" w:hAnsi="Times New Roman" w:eastAsia="宋体" w:cs="Times New Roman"/>
                <w:sz w:val="15"/>
                <w:szCs w:val="16"/>
              </w:rPr>
              <w:t>温升/电流密度 11/29；散热器中心距 10/29；其他 8/29 至 无失败运行</w:t>
            </w:r>
          </w:p>
        </w:tc>
      </w:tr>
    </w:tbl>
    <w:p w14:paraId="329C5A86">
      <w:pPr>
        <w:spacing w:after="0" w:line="276" w:lineRule="auto" w:before="0"/>
        <w:ind w:firstLine="0"/>
        <w:jc w:val="both"/>
        <w:rPr>
          <w:rFonts w:ascii="Times New Roman" w:hAnsi="Times New Roman" w:eastAsia="宋体" w:cs="Times New Roman"/>
          <w:color w:val="000000"/>
          <w:sz w:val="18"/>
          <w:szCs w:val="18"/>
        </w:rPr>
      </w:pPr>
      <w:r>
        <w:rPr w:hint="eastAsia">
          <w:rFonts w:hint="eastAsia" w:ascii="Times New Roman" w:hAnsi="Times New Roman" w:eastAsia="宋体" w:cs="Times New Roman"/>
          <w:color w:val="000000"/>
          <w:sz w:val="15"/>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spacing w:after="0" w:line="276" w:lineRule="auto" w:before="0"/>
        <w:ind w:firstLineChars="200" w:firstLine="360"/>
        <w:jc w:val="both"/>
        <w:rPr>
          <w:rFonts w:ascii="Times New Roman" w:hAnsi="Times New Roman" w:eastAsia="宋体" w:cs="Times New Roman"/>
          <w:color w:val="000000"/>
          <w:sz w:val="18"/>
          <w:szCs w:val="18"/>
        </w:rPr>
      </w:pPr>
      <w:r>
        <w:rPr w:hint="eastAsia">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5 讨论</w:t>
      </w:r>
    </w:p>
    <w:p w14:paraId="68D19325">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5.1 方法意义与工程启示</w:t>
      </w:r>
    </w:p>
    <w:p w14:paraId="0273178F">
      <w:pPr>
        <w:spacing w:before="0" w:after="0" w:line="276" w:lineRule="auto"/>
        <w:ind w:firstLine="360"/>
        <w:jc w:val="both"/>
      </w:pPr>
      <w:r>
        <w:rPr w:hint="eastAsia">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A_f按成本顺序输出当前冻结工程规则下的严格可行候选，供工程人员进一步复核；A_n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5.2 与现有约束进化方法的关系</w:t>
      </w:r>
    </w:p>
    <w:p w14:paraId="7E511EBC">
      <w:pPr>
        <w:spacing w:before="0" w:after="0" w:line="276" w:lineRule="auto"/>
        <w:ind w:firstLineChars="20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当前主比较测试支持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5.3 局限性与未来工作</w:t>
      </w:r>
    </w:p>
    <w:p w14:paraId="7F24C5A8">
      <w:pPr>
        <w:keepNext/>
        <w:spacing w:before="0" w:after="0" w:line="276" w:lineRule="auto"/>
        <w:ind w:firstLine="360"/>
        <w:jc w:val="both"/>
        <w:rPr>
          <w:rFonts w:ascii="Times New Roman" w:hAnsi="Times New Roman" w:eastAsia="宋体" w:cs="Times New Roman"/>
          <w:color w:val="000000"/>
          <w:sz w:val="18"/>
          <w:szCs w:val="18"/>
        </w:rPr>
      </w:pPr>
      <w:r>
        <w:rPr>
          <w:rFonts w:ascii="Times New Roman" w:hAnsi="Times New Roman" w:eastAsia="宋体" w:cs="Times New Roman"/>
          <w:sz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独立扩展配置E扩展中全部变体均未获得严格解，未形成可区分扩展策略相对表现的证据。其三，共同严格成功子集上的成本比较反映条件经济性，而非无条件期望成本。</w:t>
      </w:r>
    </w:p>
    <w:p w14:paraId="7F24CAB0">
      <w:pPr>
        <w:spacing w:after="0" w:line="276" w:lineRule="auto" w:before="0"/>
        <w:ind w:firstLine="360"/>
        <w:jc w:val="both"/>
      </w:pPr>
      <w:r>
        <w:rPr w:hint="eastAsia">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spacing w:after="0" w:line="276" w:lineRule="auto" w:before="0"/>
        <w:ind w:firstLine="360"/>
        <w:jc w:val="both"/>
      </w:pPr>
      <w:r>
        <w:rPr w:hint="eastAsia">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6 结论</w:t>
      </w:r>
    </w:p>
    <w:p w14:paraId="18E86D82">
      <w:pPr>
        <w:spacing w:before="0" w:after="0" w:line="276" w:lineRule="auto"/>
        <w:ind w:firstLine="360"/>
        <w:jc w:val="both"/>
      </w:pPr>
      <w:r>
        <w:rPr w:hint="eastAsia">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轨迹，在本研究所测试的大容量长圆-散热器工况甲和工况乙中，MGA默认增强策略的严格可行发现率显著高于BGA。在共同成功配对中，场景C和场景D的Hodges-Lehmann成本变化率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spacing w:before="100" w:after="60"/>
        <w:ind w:firstLine="0"/>
        <w:jc w:val="left"/>
      </w:pPr>
      <w:r>
        <w:rPr w:hint="eastAsia">
          <w:rFonts w:hint="eastAsia" w:ascii="Times New Roman" w:hAnsi="Times New Roman" w:eastAsia="黑体" w:cs="Times New Roman"/>
          <w:b/>
          <w:color w:val="000000"/>
          <w:sz w:val="21"/>
          <w:szCs w:val="21"/>
        </w:rPr>
        <w:t>附录A 一致性门控字段组与判定规则</w:t>
      </w:r>
    </w:p>
    <w:p w14:paraId="62B9FA6E">
      <w:pPr>
        <w:spacing w:line="276" w:lineRule="auto" w:before="0" w:after="0"/>
        <w:ind w:firstLine="360"/>
        <w:jc w:val="both"/>
      </w:pPr>
      <w:r>
        <w:rPr>
          <w:rFonts w:ascii="Times New Roman" w:hAnsi="Times New Roman" w:eastAsia="宋体" w:cs="Times New Roman"/>
          <w:sz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40" w:after="20" w:line="276" w:lineRule="auto"/>
        <w:ind w:firstLine="0"/>
        <w:jc w:val="center"/>
      </w:pPr>
      <w:r>
        <w:rPr w:hint="eastAsia">
          <w:rFonts w:hint="eastAsia" w:ascii="Times New Roman" w:hAnsi="Times New Roman" w:eastAsia="宋体" w:cs="Times New Roman"/>
          <w:sz w:val="18"/>
          <w:szCs w:val="18"/>
        </w:rPr>
        <w:t>表A1 一致性门控字段分组与实际判定规则</w:t>
      </w:r>
    </w:p>
    <w:tbl>
      <w:tblPr>
        <w:tblStyle w:val="32"/>
        <w:tblW w:w="4139" w:type="dxa"/>
        <w:jc w:val="center"/>
        <w:tblCaption w:val="一致性门控字段分组与实际判定规则"/>
        <w:tblDescription w:val="Java与Python单设备精算一致性核验所比较的32个字段分组与精确判定规则。"/>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Pr>
      <w:tblGrid>
        <w:gridCol w:w="850"/>
        <w:gridCol w:w="500"/>
        <w:gridCol w:w="1100"/>
        <w:gridCol w:w="1689"/>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spacing w:before="0" w:after="0" w:line="240" w:lineRule="auto"/>
              <w:ind w:firstLine="0"/>
              <w:jc w:val="center"/>
            </w:pPr>
            <w:r>
              <w:rPr w:hint="eastAsia">
                <w:rFonts w:hint="eastAsia" w:ascii="Times New Roman" w:hAnsi="Times New Roman" w:eastAsia="宋体" w:cs="Times New Roman"/>
                <w:b/>
                <w:sz w:val="15"/>
                <w:szCs w:val="16"/>
              </w:rPr>
              <w:t>字段组</w:t>
            </w:r>
          </w:p>
        </w:tc>
        <w:tc>
          <w:tcPr>
            <w:shd w:val="clear" w:color="auto" w:fill="D9EAF7"/>
            <w:vAlign w:val="center"/>
          </w:tcPr>
          <w:p w14:paraId="7F24CAFB">
            <w:pPr>
              <w:spacing w:before="0" w:after="0" w:line="240" w:lineRule="auto"/>
              <w:ind w:firstLine="0"/>
              <w:jc w:val="center"/>
            </w:pPr>
            <w:r>
              <w:rPr w:hint="eastAsia">
                <w:rFonts w:hint="eastAsia" w:ascii="Times New Roman" w:hAnsi="Times New Roman" w:eastAsia="宋体" w:cs="Times New Roman"/>
                <w:b/>
                <w:sz w:val="15"/>
                <w:szCs w:val="16"/>
              </w:rPr>
              <w:t>字段数</w:t>
            </w:r>
          </w:p>
        </w:tc>
        <w:tc>
          <w:tcPr>
            <w:shd w:val="clear" w:color="auto" w:fill="D9EAF7"/>
            <w:vAlign w:val="center"/>
          </w:tcPr>
          <w:p w14:paraId="7F24CAFD">
            <w:pPr>
              <w:spacing w:before="0" w:after="0" w:line="240" w:lineRule="auto"/>
              <w:ind w:firstLine="0"/>
              <w:jc w:val="center"/>
            </w:pPr>
            <w:r>
              <w:rPr w:hint="eastAsia">
                <w:rFonts w:hint="eastAsia" w:ascii="Times New Roman" w:hAnsi="Times New Roman" w:eastAsia="宋体" w:cs="Times New Roman"/>
                <w:b/>
                <w:sz w:val="15"/>
                <w:szCs w:val="16"/>
              </w:rPr>
              <w:t>代表字段</w:t>
            </w:r>
          </w:p>
        </w:tc>
        <w:tc>
          <w:tcPr>
            <w:shd w:val="clear" w:color="auto" w:fill="D9EAF7"/>
            <w:vAlign w:val="center"/>
          </w:tcPr>
          <w:p w14:paraId="7F24CAFF">
            <w:pPr>
              <w:spacing w:before="0" w:after="0" w:line="240" w:lineRule="auto"/>
              <w:ind w:firstLine="0"/>
              <w:jc w:val="center"/>
            </w:pPr>
            <w:r>
              <w:rPr w:hint="eastAsia">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spacing w:before="0" w:after="0" w:line="240" w:lineRule="auto"/>
              <w:ind w:firstLine="0"/>
              <w:jc w:val="left"/>
            </w:pPr>
            <w:r>
              <w:rPr w:hint="eastAsia">
                <w:rFonts w:hint="eastAsia" w:ascii="Times New Roman" w:hAnsi="Times New Roman" w:eastAsia="宋体" w:cs="Times New Roman"/>
                <w:sz w:val="15"/>
                <w:szCs w:val="16"/>
              </w:rPr>
              <w:t>基础电气性能</w:t>
            </w:r>
          </w:p>
        </w:tc>
        <w:tc>
          <w:tcPr>
            <w:vAlign w:val="center"/>
          </w:tcPr>
          <w:p w14:paraId="7F24CB03">
            <w:pPr>
              <w:spacing w:before="0" w:after="0" w:line="240" w:lineRule="auto"/>
              <w:ind w:firstLine="0"/>
              <w:jc w:val="center"/>
            </w:pPr>
            <w:r>
              <w:rPr w:hint="eastAsia">
                <w:rFonts w:hint="eastAsia" w:ascii="Times New Roman" w:hAnsi="Times New Roman" w:eastAsia="宋体" w:cs="Times New Roman"/>
                <w:sz w:val="15"/>
                <w:szCs w:val="16"/>
              </w:rPr>
              <w:t>9</w:t>
            </w:r>
          </w:p>
        </w:tc>
        <w:tc>
          <w:tcPr>
            <w:vAlign w:val="center"/>
          </w:tcPr>
          <w:p w14:paraId="7F24CB05">
            <w:pPr>
              <w:spacing w:before="0" w:after="0" w:line="240" w:lineRule="auto"/>
              <w:ind w:firstLine="0"/>
              <w:jc w:val="left"/>
            </w:pPr>
            <w:r>
              <w:rPr w:hint="eastAsia">
                <w:rFonts w:hint="eastAsia" w:ascii="Times New Roman" w:hAnsi="Times New Roman" w:eastAsia="宋体" w:cs="Times New Roman"/>
                <w:sz w:val="15"/>
                <w:szCs w:val="16"/>
              </w:rPr>
              <w:t>损耗、阻抗、磁密及绕组电流密度</w:t>
            </w:r>
          </w:p>
        </w:tc>
        <w:tc>
          <w:tcPr>
            <w:vAlign w:val="center"/>
          </w:tcPr>
          <w:p w14:paraId="7F24CB07">
            <w:pPr>
              <w:spacing w:before="0" w:after="0" w:line="240" w:lineRule="auto"/>
              <w:ind w:firstLine="0"/>
              <w:jc w:val="left"/>
            </w:pPr>
            <w:r>
              <w:rPr w:hint="eastAsia">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spacing w:before="0" w:after="0" w:line="240" w:lineRule="auto"/>
              <w:ind w:firstLine="0"/>
              <w:jc w:val="left"/>
            </w:pPr>
            <w:r>
              <w:rPr w:hint="eastAsia">
                <w:rFonts w:hint="eastAsia" w:ascii="Times New Roman" w:hAnsi="Times New Roman" w:eastAsia="宋体" w:cs="Times New Roman"/>
                <w:sz w:val="15"/>
                <w:szCs w:val="16"/>
              </w:rPr>
              <w:t>方案总成本</w:t>
            </w:r>
          </w:p>
        </w:tc>
        <w:tc>
          <w:tcPr>
            <w:vAlign w:val="center"/>
          </w:tcPr>
          <w:p w14:paraId="7F24CB0B">
            <w:pPr>
              <w:spacing w:before="0" w:after="0" w:line="240" w:lineRule="auto"/>
              <w:ind w:firstLine="0"/>
              <w:jc w:val="center"/>
            </w:pPr>
            <w:r>
              <w:rPr w:hint="eastAsia">
                <w:rFonts w:hint="eastAsia" w:ascii="Times New Roman" w:hAnsi="Times New Roman" w:eastAsia="宋体" w:cs="Times New Roman"/>
                <w:sz w:val="15"/>
                <w:szCs w:val="16"/>
              </w:rPr>
              <w:t>1</w:t>
            </w:r>
          </w:p>
        </w:tc>
        <w:tc>
          <w:tcPr>
            <w:vAlign w:val="center"/>
          </w:tcPr>
          <w:p w14:paraId="7F24CB0D">
            <w:pPr>
              <w:spacing w:before="0" w:after="0" w:line="240" w:lineRule="auto"/>
              <w:ind w:firstLine="0"/>
              <w:jc w:val="left"/>
            </w:pPr>
            <w:r>
              <w:rPr w:hint="eastAsia">
                <w:rFonts w:hint="eastAsia" w:ascii="Times New Roman" w:hAnsi="Times New Roman" w:eastAsia="宋体" w:cs="Times New Roman"/>
                <w:sz w:val="15"/>
                <w:szCs w:val="16"/>
              </w:rPr>
              <w:t>方案记录顶层price</w:t>
            </w:r>
          </w:p>
        </w:tc>
        <w:tc>
          <w:tcPr>
            <w:vAlign w:val="center"/>
          </w:tcPr>
          <w:p w14:paraId="7F24CB0F">
            <w:pPr>
              <w:spacing w:before="0" w:after="0" w:line="240" w:lineRule="auto"/>
              <w:ind w:firstLine="0"/>
              <w:jc w:val="left"/>
            </w:pPr>
            <w:r>
              <w:rPr w:hint="eastAsia">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spacing w:before="0" w:after="0" w:line="240" w:lineRule="auto"/>
              <w:ind w:firstLine="0"/>
              <w:jc w:val="left"/>
            </w:pPr>
            <w:r>
              <w:rPr w:hint="eastAsia">
                <w:rFonts w:hint="eastAsia" w:ascii="Times New Roman" w:hAnsi="Times New Roman" w:eastAsia="宋体" w:cs="Times New Roman"/>
                <w:sz w:val="15"/>
                <w:szCs w:val="16"/>
              </w:rPr>
              <w:t>热工/重量/材料成本快照</w:t>
            </w:r>
          </w:p>
        </w:tc>
        <w:tc>
          <w:tcPr>
            <w:vAlign w:val="center"/>
          </w:tcPr>
          <w:p w14:paraId="7F24CB13">
            <w:pPr>
              <w:spacing w:before="0" w:after="0" w:line="240" w:lineRule="auto"/>
              <w:ind w:firstLine="0"/>
              <w:jc w:val="center"/>
            </w:pPr>
            <w:r>
              <w:rPr w:hint="eastAsia">
                <w:rFonts w:hint="eastAsia" w:ascii="Times New Roman" w:hAnsi="Times New Roman" w:eastAsia="宋体" w:cs="Times New Roman"/>
                <w:sz w:val="15"/>
                <w:szCs w:val="16"/>
              </w:rPr>
              <w:t>22</w:t>
            </w:r>
          </w:p>
        </w:tc>
        <w:tc>
          <w:tcPr>
            <w:vAlign w:val="center"/>
          </w:tcPr>
          <w:p w14:paraId="7F24CB15">
            <w:pPr>
              <w:spacing w:before="0" w:after="0" w:line="240" w:lineRule="auto"/>
              <w:ind w:firstLine="0"/>
              <w:jc w:val="left"/>
            </w:pPr>
            <w:r>
              <w:rPr w:hint="eastAsia">
                <w:rFonts w:hint="eastAsia" w:ascii="Times New Roman" w:hAnsi="Times New Roman" w:eastAsia="宋体" w:cs="Times New Roman"/>
                <w:sz w:val="15"/>
                <w:szCs w:val="16"/>
              </w:rPr>
              <w:t>温升、油重、结构重量及材料成本</w:t>
            </w:r>
          </w:p>
        </w:tc>
        <w:tc>
          <w:tcPr>
            <w:vAlign w:val="center"/>
          </w:tcPr>
          <w:p w14:paraId="7F24CB17">
            <w:pPr>
              <w:spacing w:before="0" w:after="0" w:line="240" w:lineRule="auto"/>
              <w:ind w:firstLine="0"/>
              <w:jc w:val="left"/>
            </w:pPr>
            <w:r>
              <w:rPr w:hint="eastAsia">
                <w:rFonts w:hint="eastAsia" w:ascii="Times New Roman" w:hAnsi="Times New Roman" w:eastAsia="宋体" w:cs="Times New Roman"/>
                <w:sz w:val="15"/>
                <w:szCs w:val="16"/>
              </w:rPr>
              <w:t>Java快照与Python指标均存在且Decimal(str(value))完全相等</w:t>
            </w:r>
          </w:p>
        </w:tc>
      </w:tr>
    </w:tbl>
    <w:p w14:paraId="7F24C788">
      <w:pPr>
        <w:spacing w:before="40" w:after="20"/>
        <w:jc w:val="center"/>
      </w:pPr>
      <w:r>
        <w:rPr>
          <w:rFonts w:hint="eastAsia" w:ascii="Times New Roman" w:hAnsi="Times New Roman" w:eastAsia="宋体" w:cs="Times New Roman"/>
        </w:rPr>
        <w:drawing>
          <wp:inline distT="0" distB="0" distL="0" distR="0">
            <wp:extent cx="2834640" cy="932815"/>
            <wp:effectExtent l="0" t="0" r="0" b="0"/>
            <wp:docPr id="10" name="Java与Python单设备精算一致性核验" descr="Java与Python单设备精算一致性核验：13条可逐位复现记录共416项字段均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与Python单设备精算一致性核验" descr="Java与Python单设备精算一致性核验：13条可逐位复现记录共416项字段均一致"/>
                    <pic:cNvPicPr>
                      <a:picLocks noChangeAspect="1"/>
                    </pic:cNvPicPr>
                  </pic:nvPicPr>
                  <pic:blipFill>
                    <a:blip r:embed="rId19" cstate="print"/>
                    <a:stretch>
                      <a:fillRect/>
                    </a:stretch>
                  </pic:blipFill>
                  <pic:spPr>
                    <a:xfrm>
                      <a:off x="0" y="0"/>
                      <a:ext cx="2834640" cy="933063"/>
                    </a:xfrm>
                    <a:prstGeom prst="rect">
                      <a:avLst/>
                    </a:prstGeom>
                  </pic:spPr>
                </pic:pic>
              </a:graphicData>
            </a:graphic>
          </wp:inline>
        </w:drawing>
      </w:r>
    </w:p>
    <w:p w14:paraId="7F24C78A">
      <w:pPr>
        <w:spacing w:after="20" w:line="276" w:lineRule="auto" w:before="40"/>
        <w:ind w:firstLine="0"/>
        <w:jc w:val="center"/>
      </w:pPr>
      <w:r>
        <w:rPr w:hint="eastAsia">
          <w:rFonts w:hint="eastAsia" w:ascii="Times New Roman" w:hAnsi="Times New Roman" w:eastAsia="宋体" w:cs="Times New Roman"/>
          <w:sz w:val="18"/>
          <w:szCs w:val="18"/>
        </w:rPr>
        <w:t>图A1 Java与Python单设备精算一致性核验（13条记录、416项可比字段）</w:t>
      </w:r>
    </w:p>
    <w:p w14:paraId="1912ACB2">
      <w:pPr>
        <w:pStyle w:val="3"/>
        <w:spacing w:before="100" w:after="60"/>
        <w:ind w:firstLine="0"/>
        <w:jc w:val="left"/>
      </w:pPr>
      <w:r>
        <w:rPr>
          <w:rFonts w:ascii="Times New Roman" w:hAnsi="Times New Roman" w:eastAsia="宋体" w:cs="Times New Roman"/>
          <w:sz w:val="21"/>
        </w:rPr>
        <w:t>附录B 五个实际业务系统配置场景的冻结搜索快照</w:t>
      </w:r>
    </w:p>
    <w:p w14:paraId="43979BC6">
      <w:pPr>
        <w:spacing w:after="0" w:line="276" w:lineRule="auto" w:before="0"/>
        <w:ind w:firstLine="360"/>
        <w:jc w:val="both"/>
        <w:rPr>
          <w:rFonts w:ascii="Times New Roman" w:hAnsi="Times New Roman" w:eastAsia="宋体" w:cs="Times New Roman"/>
          <w:color w:val="000000"/>
          <w:sz w:val="18"/>
          <w:szCs w:val="18"/>
        </w:rPr>
      </w:pPr>
      <w:r>
        <w:rPr>
          <w:rFonts w:ascii="Times New Roman" w:hAnsi="Times New Roman" w:eastAsia="宋体" w:cs="Times New Roman"/>
          <w:sz w:val="18"/>
        </w:rPr>
        <w:t>表B1汇总五个实际业务系统主比较场景的冻结搜索快照，包括场景名称、容量、铁芯与油箱分支、导线类别数、实际第0代精算数、工作种群规模和预算上限。它用于复核本轮运行的输入边界，而非列示全部页面字段或宣称穷尽的严格可行域。当前归档尚未建立独立snapshot UUID，以“归档日期+场景+对应SQLite轨迹/JSON汇总文件”共同识别一次冻结运行快照。企业目录与价格快照不对外公开，本文的可复核性限定为内部冻结归档；外部复现需基于脱敏配置摘要及授权元数据。</w:t>
      </w:r>
    </w:p>
    <w:p w14:paraId="53236849">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表B1 五个真实主场景的冻结搜索快照与可复核信息</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170"/>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spacing w:before="0" w:after="0" w:line="240" w:lineRule="auto"/>
              <w:ind w:firstLine="0"/>
              <w:jc w:val="center"/>
            </w:pPr>
            <w:r>
              <w:rPr w:hint="eastAsia">
                <w:rFonts w:hint="eastAsia" w:ascii="Times New Roman" w:hAnsi="Times New Roman" w:eastAsia="宋体" w:cs="Times New Roman"/>
                <w:b/>
                <w:color w:val="000000"/>
                <w:sz w:val="15"/>
                <w:szCs w:val="16"/>
              </w:rPr>
              <w:t>场景/项目</w:t>
            </w:r>
          </w:p>
        </w:tc>
        <w:tc>
          <w:tcPr>
            <w:tcW w:w="3170" w:type="dxa"/>
            <w:shd w:val="clear" w:color="auto" w:fill="D9EAF7"/>
            <w:tcMar>
              <w:top w:w="60" w:type="dxa"/>
              <w:left w:w="70" w:type="dxa"/>
              <w:bottom w:w="60" w:type="dxa"/>
              <w:right w:w="70" w:type="dxa"/>
            </w:tcMar>
            <w:vAlign w:val="center"/>
          </w:tcPr>
          <w:p w14:paraId="7825BD5B">
            <w:pPr>
              <w:spacing w:before="0" w:after="0" w:line="240" w:lineRule="auto"/>
              <w:ind w:firstLine="0"/>
              <w:jc w:val="center"/>
            </w:pPr>
            <w:r>
              <w:rPr w:hint="eastAsia">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spacing w:before="0" w:after="0" w:line="240" w:lineRule="auto"/>
              <w:ind w:firstLine="0"/>
              <w:jc w:val="center"/>
            </w:pPr>
            <w:r>
              <w:rPr w:hint="eastAsia">
                <w:rFonts w:hint="eastAsia" w:ascii="Times New Roman" w:hAnsi="Times New Roman" w:eastAsia="宋体" w:cs="Times New Roman"/>
                <w:color w:val="000000"/>
                <w:sz w:val="15"/>
                <w:szCs w:val="16"/>
              </w:rPr>
              <w:t>场景A</w:t>
            </w:r>
          </w:p>
        </w:tc>
        <w:tc>
          <w:tcPr>
            <w:tcW w:w="3170" w:type="dxa"/>
            <w:tcMar>
              <w:top w:w="60" w:type="dxa"/>
              <w:left w:w="70" w:type="dxa"/>
              <w:bottom w:w="60" w:type="dxa"/>
              <w:right w:w="70" w:type="dxa"/>
            </w:tcMar>
            <w:vAlign w:val="center"/>
          </w:tcPr>
          <w:p w14:paraId="4957613A">
            <w:pPr>
              <w:spacing w:before="0" w:after="0" w:line="240" w:lineRule="auto"/>
              <w:ind w:firstLine="0"/>
              <w:jc w:val="center"/>
            </w:pPr>
            <w:r>
              <w:rPr w:hint="eastAsia">
                <w:rFonts w:hint="eastAsia" w:ascii="Times New Roman" w:hAnsi="Times New Roman" w:eastAsia="宋体" w:cs="Times New Roman"/>
                <w:color w:val="000000"/>
                <w:sz w:val="15"/>
                <w:szCs w:val="16"/>
              </w:rPr>
              <w:t>50 kVA；圆形铁芯、波纹油箱；低/高目录类别数2/2；N0=3 335，N=347，B′=8 000。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spacing w:before="0" w:after="0" w:line="240" w:lineRule="auto"/>
              <w:ind w:firstLine="0"/>
              <w:jc w:val="center"/>
            </w:pPr>
            <w:r>
              <w:rPr w:hint="eastAsia">
                <w:rFonts w:hint="eastAsia" w:ascii="Times New Roman" w:hAnsi="Times New Roman" w:eastAsia="宋体" w:cs="Times New Roman"/>
                <w:color w:val="000000"/>
                <w:sz w:val="15"/>
                <w:szCs w:val="16"/>
              </w:rPr>
              <w:t>场景B</w:t>
            </w:r>
          </w:p>
        </w:tc>
        <w:tc>
          <w:tcPr>
            <w:tcW w:w="3170" w:type="dxa"/>
            <w:tcMar>
              <w:top w:w="60" w:type="dxa"/>
              <w:left w:w="70" w:type="dxa"/>
              <w:bottom w:w="60" w:type="dxa"/>
              <w:right w:w="70" w:type="dxa"/>
            </w:tcMar>
            <w:vAlign w:val="center"/>
          </w:tcPr>
          <w:p w14:paraId="027AE7AF">
            <w:pPr>
              <w:spacing w:before="0" w:after="0" w:line="240" w:lineRule="auto"/>
              <w:ind w:firstLine="0"/>
              <w:jc w:val="center"/>
            </w:pPr>
            <w:r>
              <w:rPr w:hint="eastAsia">
                <w:rFonts w:hint="eastAsia" w:ascii="Times New Roman" w:hAnsi="Times New Roman" w:eastAsia="宋体" w:cs="Times New Roman"/>
                <w:color w:val="000000"/>
                <w:sz w:val="15"/>
                <w:szCs w:val="16"/>
              </w:rPr>
              <w:t>100 kVA；长圆铁芯、波纹油箱；低/高目录类别数1/1；N0=2 825，N=319，B′=8 000。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spacing w:before="0" w:after="0" w:line="240" w:lineRule="auto"/>
              <w:ind w:firstLine="0"/>
              <w:jc w:val="center"/>
            </w:pPr>
            <w:r>
              <w:rPr w:hint="eastAsia">
                <w:rFonts w:hint="eastAsia" w:ascii="Times New Roman" w:hAnsi="Times New Roman" w:eastAsia="宋体" w:cs="Times New Roman"/>
                <w:color w:val="000000"/>
                <w:sz w:val="15"/>
                <w:szCs w:val="16"/>
              </w:rPr>
              <w:t>场景C</w:t>
            </w:r>
          </w:p>
        </w:tc>
        <w:tc>
          <w:tcPr>
            <w:tcW w:w="3170" w:type="dxa"/>
            <w:tcMar>
              <w:top w:w="60" w:type="dxa"/>
              <w:left w:w="70" w:type="dxa"/>
              <w:bottom w:w="60" w:type="dxa"/>
              <w:right w:w="70" w:type="dxa"/>
            </w:tcMar>
            <w:vAlign w:val="center"/>
          </w:tcPr>
          <w:p w14:paraId="1608FE11">
            <w:pPr>
              <w:spacing w:before="0" w:after="0" w:line="240" w:lineRule="auto"/>
              <w:ind w:firstLine="0"/>
              <w:jc w:val="center"/>
            </w:pPr>
            <w:r>
              <w:rPr w:hint="eastAsia">
                <w:rFonts w:hint="eastAsia" w:ascii="Times New Roman" w:hAnsi="Times New Roman" w:eastAsia="宋体" w:cs="Times New Roman"/>
                <w:color w:val="000000"/>
                <w:sz w:val="15"/>
                <w:szCs w:val="16"/>
              </w:rPr>
              <w:t>300 kVA；长圆铁芯、波纹油箱；低/高目录类别数1/1；N0=12 303，N=666，B′=10 000。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spacing w:before="0" w:after="0" w:line="240" w:lineRule="auto"/>
              <w:ind w:firstLine="0"/>
              <w:jc w:val="center"/>
            </w:pPr>
            <w:r>
              <w:rPr w:hint="eastAsia">
                <w:rFonts w:hint="eastAsia" w:ascii="Times New Roman" w:hAnsi="Times New Roman" w:eastAsia="宋体" w:cs="Times New Roman"/>
                <w:color w:val="000000"/>
                <w:sz w:val="15"/>
                <w:szCs w:val="16"/>
              </w:rPr>
              <w:t>场景D</w:t>
            </w:r>
          </w:p>
        </w:tc>
        <w:tc>
          <w:tcPr>
            <w:tcW w:w="3170" w:type="dxa"/>
            <w:tcMar>
              <w:top w:w="60" w:type="dxa"/>
              <w:left w:w="70" w:type="dxa"/>
              <w:bottom w:w="60" w:type="dxa"/>
              <w:right w:w="70" w:type="dxa"/>
            </w:tcMar>
            <w:vAlign w:val="center"/>
          </w:tcPr>
          <w:p w14:paraId="5372BD5D">
            <w:pPr>
              <w:spacing w:before="0" w:after="0" w:line="240" w:lineRule="auto"/>
              <w:ind w:firstLine="0"/>
              <w:jc w:val="center"/>
            </w:pPr>
            <w:r>
              <w:rPr w:hint="eastAsia">
                <w:rFonts w:hint="eastAsia" w:ascii="Times New Roman" w:hAnsi="Times New Roman" w:eastAsia="宋体" w:cs="Times New Roman"/>
                <w:color w:val="000000"/>
                <w:sz w:val="15"/>
                <w:szCs w:val="16"/>
              </w:rPr>
              <w:t>2 000 kVA；长圆铁芯、散热器油箱（工况甲）；低/高目录类别数2/2；N0=15 492，N=747，B′=8 000。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spacing w:before="0" w:after="0" w:line="240" w:lineRule="auto"/>
              <w:ind w:firstLine="0"/>
              <w:jc w:val="center"/>
            </w:pPr>
            <w:r>
              <w:rPr w:hint="eastAsia">
                <w:rFonts w:hint="eastAsia" w:ascii="Times New Roman" w:hAnsi="Times New Roman" w:eastAsia="宋体" w:cs="Times New Roman"/>
                <w:color w:val="000000"/>
                <w:sz w:val="15"/>
                <w:szCs w:val="16"/>
              </w:rPr>
              <w:t>场景E</w:t>
            </w:r>
          </w:p>
        </w:tc>
        <w:tc>
          <w:tcPr>
            <w:tcW w:w="3170" w:type="dxa"/>
            <w:tcMar>
              <w:top w:w="60" w:type="dxa"/>
              <w:left w:w="70" w:type="dxa"/>
              <w:bottom w:w="60" w:type="dxa"/>
              <w:right w:w="70" w:type="dxa"/>
            </w:tcMar>
            <w:vAlign w:val="center"/>
          </w:tcPr>
          <w:p w14:paraId="3BCFAA5B">
            <w:pPr>
              <w:spacing w:before="0" w:after="0" w:line="240" w:lineRule="auto"/>
              <w:ind w:firstLine="0"/>
              <w:jc w:val="center"/>
            </w:pPr>
            <w:r>
              <w:rPr w:hint="eastAsia">
                <w:rFonts w:hint="eastAsia" w:ascii="Times New Roman" w:hAnsi="Times New Roman" w:eastAsia="宋体" w:cs="Times New Roman"/>
                <w:color w:val="000000"/>
                <w:sz w:val="15"/>
                <w:szCs w:val="16"/>
              </w:rPr>
              <w:t>2 000 kVA；长圆铁芯、散热器油箱（工况乙）；低/高目录类别数2/2；N0=13 698，N=703，B′=8 000。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spacing w:before="0" w:after="0" w:line="240" w:lineRule="auto"/>
              <w:ind w:firstLine="0"/>
              <w:jc w:val="center"/>
            </w:pPr>
            <w:r>
              <w:rPr w:hint="eastAsia">
                <w:rFonts w:hint="eastAsia" w:ascii="Times New Roman" w:hAnsi="Times New Roman" w:eastAsia="宋体" w:cs="Times New Roman"/>
                <w:color w:val="000000"/>
                <w:sz w:val="15"/>
                <w:szCs w:val="16"/>
              </w:rPr>
              <w:t>接线与快照</w:t>
            </w:r>
          </w:p>
        </w:tc>
        <w:tc>
          <w:tcPr>
            <w:tcW w:w="3170" w:type="dxa"/>
            <w:tcMar>
              <w:top w:w="60" w:type="dxa"/>
              <w:left w:w="70" w:type="dxa"/>
              <w:bottom w:w="60" w:type="dxa"/>
              <w:right w:w="70" w:type="dxa"/>
            </w:tcMar>
            <w:vAlign w:val="center"/>
          </w:tcPr>
          <w:p w14:paraId="3E40CFB3">
            <w:pPr>
              <w:spacing w:before="0" w:after="0" w:line="240" w:lineRule="auto"/>
              <w:ind w:firstLine="0"/>
              <w:jc w:val="center"/>
            </w:pPr>
            <w:r>
              <w:rPr w:hint="eastAsia">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spacing w:before="0" w:after="0" w:line="240" w:lineRule="auto"/>
              <w:ind w:firstLine="0"/>
              <w:jc w:val="center"/>
            </w:pPr>
            <w:r>
              <w:rPr w:hint="eastAsia">
                <w:rFonts w:hint="eastAsia" w:ascii="Times New Roman" w:hAnsi="Times New Roman" w:eastAsia="宋体" w:cs="Times New Roman"/>
                <w:color w:val="000000"/>
                <w:sz w:val="15"/>
                <w:szCs w:val="16"/>
              </w:rPr>
              <w:t>预算语义</w:t>
            </w:r>
          </w:p>
        </w:tc>
        <w:tc>
          <w:tcPr>
            <w:tcW w:w="3170" w:type="dxa"/>
            <w:tcMar>
              <w:top w:w="60" w:type="dxa"/>
              <w:left w:w="70" w:type="dxa"/>
              <w:bottom w:w="60" w:type="dxa"/>
              <w:right w:w="70" w:type="dxa"/>
            </w:tcMar>
            <w:vAlign w:val="center"/>
          </w:tcPr>
          <w:p w14:paraId="5C98CF83">
            <w:pPr>
              <w:spacing w:before="0" w:after="0" w:line="240" w:lineRule="auto"/>
              <w:ind w:firstLine="0"/>
              <w:jc w:val="center"/>
            </w:pPr>
            <w:r>
              <w:rPr w:hint="eastAsia">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spacing w:before="0" w:after="0" w:line="240" w:lineRule="auto"/>
              <w:ind w:firstLine="0"/>
              <w:jc w:val="center"/>
            </w:pPr>
            <w:r>
              <w:rPr w:hint="eastAsia">
                <w:rFonts w:hint="eastAsia" w:ascii="Times New Roman" w:hAnsi="Times New Roman" w:eastAsia="宋体" w:cs="Times New Roman"/>
                <w:color w:val="000000"/>
                <w:sz w:val="15"/>
                <w:szCs w:val="16"/>
              </w:rPr>
              <w:t>边界检查</w:t>
            </w:r>
          </w:p>
        </w:tc>
        <w:tc>
          <w:tcPr>
            <w:tcW w:w="3170" w:type="dxa"/>
            <w:tcMar>
              <w:top w:w="60" w:type="dxa"/>
              <w:left w:w="70" w:type="dxa"/>
              <w:bottom w:w="60" w:type="dxa"/>
              <w:right w:w="70" w:type="dxa"/>
            </w:tcMar>
            <w:vAlign w:val="center"/>
          </w:tcPr>
          <w:p w14:paraId="417B4AC3">
            <w:pPr>
              <w:spacing w:before="0" w:after="0" w:line="240" w:lineRule="auto"/>
              <w:ind w:firstLine="0"/>
              <w:jc w:val="center"/>
            </w:pPr>
            <w:r>
              <w:rPr w:hint="eastAsia">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spacing w:before="0" w:after="0" w:line="240" w:lineRule="auto"/>
              <w:ind w:firstLine="0"/>
              <w:jc w:val="center"/>
            </w:pPr>
            <w:r>
              <w:rPr w:hint="eastAsia">
                <w:rFonts w:hint="eastAsia" w:ascii="Times New Roman" w:hAnsi="Times New Roman" w:eastAsia="宋体" w:cs="Times New Roman"/>
                <w:color w:val="000000"/>
                <w:sz w:val="15"/>
                <w:szCs w:val="16"/>
              </w:rPr>
              <w:t>可复核性</w:t>
            </w:r>
          </w:p>
        </w:tc>
        <w:tc>
          <w:tcPr>
            <w:tcW w:w="3170" w:type="dxa"/>
            <w:tcMar>
              <w:top w:w="60" w:type="dxa"/>
              <w:left w:w="70" w:type="dxa"/>
              <w:bottom w:w="60" w:type="dxa"/>
              <w:right w:w="70" w:type="dxa"/>
            </w:tcMar>
            <w:vAlign w:val="center"/>
          </w:tcPr>
          <w:p w14:paraId="0C8622DF">
            <w:pPr>
              <w:spacing w:before="0" w:after="0" w:line="240" w:lineRule="auto"/>
              <w:ind w:firstLine="0"/>
              <w:jc w:val="center"/>
            </w:pPr>
            <w:r>
              <w:rPr w:hint="eastAsia">
                <w:rFonts w:hint="eastAsia" w:ascii="Times New Roman" w:hAnsi="Times New Roman" w:eastAsia="宋体" w:cs="Times New Roman"/>
                <w:color w:val="000000"/>
                <w:sz w:val="15"/>
                <w:szCs w:val="16"/>
              </w:rPr>
              <w:t>以“归档日期+场景+对应SQLite轨迹/JSON汇总文件”共同识别快照；每条运行保存设置元数据、候选来源与评价结果，统计由归档JSON重新汇总。</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精算器版本</w:t>
            </w:r>
          </w:p>
        </w:tc>
        <w:tc>
          <w:tcPr>
            <w:tcMar>
              <w:top w:w="60" w:type="dxa"/>
              <w:left w:w="70" w:type="dxa"/>
              <w:bottom w:w="60" w:type="dxa"/>
              <w:right w:w="70" w:type="dxa"/>
            </w:tcMar>
            <w:vAlign w:val="center"/>
          </w:tcPr>
          <w:p w14:paraId="7F24CB1F">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策略变体归档标识</w:t>
            </w:r>
          </w:p>
        </w:tc>
        <w:tc>
          <w:tcPr>
            <w:tcMar>
              <w:top w:w="60" w:type="dxa"/>
              <w:left w:w="70" w:type="dxa"/>
              <w:bottom w:w="60" w:type="dxa"/>
              <w:right w:w="70" w:type="dxa"/>
            </w:tcMar>
            <w:vAlign w:val="center"/>
          </w:tcPr>
          <w:p w14:paraId="7F24CB23">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runs_ablate*.json；SHA-256前12位：06D06DF14471、D2408B24E2EC、90B83D76733A、BCD1CAFE7D50。</w:t>
            </w:r>
          </w:p>
        </w:tc>
      </w:tr>
    </w:tbl>
    <w:p w14:paraId="7F24CB25">
      <w:pPr>
        <w:pStyle w:val="3"/>
        <w:spacing w:before="100" w:after="60"/>
        <w:ind w:firstLine="0"/>
        <w:jc w:val="left"/>
      </w:pPr>
      <w:r>
        <w:rPr w:hint="eastAsia">
          <w:rFonts w:hint="eastAsia" w:ascii="Times New Roman" w:hAnsi="Times New Roman" w:eastAsia="黑体" w:cs="Times New Roman"/>
          <w:b/>
          <w:color w:val="000000"/>
          <w:sz w:val="21"/>
          <w:szCs w:val="21"/>
        </w:rPr>
        <w:t>附录C 诊断探测扩展策略与去双档案变体的同批配对复核（场景A至D与独立扩展配置E扩展）</w:t>
      </w:r>
    </w:p>
    <w:p w14:paraId="7F24CB29">
      <w:pPr>
        <w:spacing w:after="0" w:line="276" w:lineRule="auto" w:before="0"/>
        <w:ind w:firstLine="360"/>
        <w:jc w:val="both"/>
      </w:pPr>
      <w:r>
        <w:rPr w:hint="eastAsia">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40" w:after="20" w:line="276" w:lineRule="auto"/>
        <w:ind w:firstLine="0"/>
        <w:jc w:val="center"/>
      </w:pPr>
      <w:r>
        <w:rPr w:hint="eastAsia">
          <w:rFonts w:hint="eastAsia" w:ascii="Times New Roman" w:hAnsi="Times New Roman" w:eastAsia="宋体" w:cs="Times New Roman"/>
          <w:b/>
          <w:sz w:val="18"/>
          <w:szCs w:val="18"/>
        </w:rPr>
        <w:t>表C1 诊断探测扩展策略与去双档案变体的同批配对复核（场景A至D与独立扩展配置E扩展；每场景30个相同种子）</w:t>
      </w:r>
    </w:p>
    <w:tbl>
      <w:tblPr>
        <w:tblStyle w:val="32"/>
        <w:tblW w:w="4100" w:type="dxa"/>
        <w:tblCaption w:val="完整MGA与去双档案变体的同批配对复核"/>
        <w:tblDescription w:val="五个场景中完整MGA和去双档案变体的同批30种子严格成功数及McNemar检验结果。"/>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Pr>
      <w:tblGrid>
        <w:gridCol w:w="700"/>
        <w:gridCol w:w="1500"/>
        <w:gridCol w:w="500"/>
        <w:gridCol w:w="700"/>
        <w:gridCol w:w="700"/>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shd w:val="clear" w:color="auto" w:fill="D9EAF7"/>
            <w:tcMar>
              <w:top w:w="60" w:type="dxa"/>
              <w:left w:w="70" w:type="dxa"/>
              <w:bottom w:w="60" w:type="dxa"/>
              <w:right w:w="70" w:type="dxa"/>
            </w:tcMar>
            <w:vAlign w:val="center"/>
          </w:tcPr>
          <w:p w14:paraId="7F24CB2D">
            <w:pPr>
              <w:spacing w:before="0" w:after="0" w:line="240" w:lineRule="auto"/>
              <w:ind w:firstLine="0"/>
              <w:jc w:val="center"/>
            </w:pPr>
            <w:r>
              <w:rPr w:hint="eastAsia">
                <w:rFonts w:hint="eastAsia" w:ascii="Times New Roman" w:hAnsi="Times New Roman" w:eastAsia="宋体" w:cs="Times New Roman"/>
                <w:b/>
                <w:sz w:val="15"/>
                <w:szCs w:val="16"/>
              </w:rPr>
              <w:t>场景</w:t>
            </w:r>
          </w:p>
        </w:tc>
        <w:tc>
          <w:tcPr>
            <w:shd w:val="clear" w:color="auto" w:fill="D9EAF7"/>
            <w:tcMar>
              <w:top w:w="60" w:type="dxa"/>
              <w:left w:w="70" w:type="dxa"/>
              <w:bottom w:w="60" w:type="dxa"/>
              <w:right w:w="70" w:type="dxa"/>
            </w:tcMar>
            <w:vAlign w:val="center"/>
          </w:tcPr>
          <w:p w14:paraId="7F24CB2F">
            <w:pPr>
              <w:spacing w:before="0" w:after="0" w:line="240" w:lineRule="auto"/>
              <w:ind w:firstLine="0"/>
              <w:jc w:val="center"/>
            </w:pPr>
            <w:r>
              <w:rPr w:hint="eastAsia">
                <w:rFonts w:hint="eastAsia" w:ascii="Times New Roman" w:hAnsi="Times New Roman" w:eastAsia="宋体" w:cs="Times New Roman"/>
                <w:b/>
                <w:sz w:val="15"/>
                <w:szCs w:val="16"/>
              </w:rPr>
              <w:t>严格成功数（去双档案 / 诊断扩展）</w:t>
            </w:r>
          </w:p>
        </w:tc>
        <w:tc>
          <w:tcPr>
            <w:shd w:val="clear" w:color="auto" w:fill="D9EAF7"/>
            <w:tcMar>
              <w:top w:w="60" w:type="dxa"/>
              <w:left w:w="70" w:type="dxa"/>
              <w:bottom w:w="60" w:type="dxa"/>
              <w:right w:w="70" w:type="dxa"/>
            </w:tcMar>
            <w:vAlign w:val="center"/>
          </w:tcPr>
          <w:p w14:paraId="7F24CB31">
            <w:pPr>
              <w:spacing w:before="0" w:after="0" w:line="240" w:lineRule="auto"/>
              <w:ind w:firstLine="0"/>
              <w:jc w:val="center"/>
            </w:pPr>
            <w:r>
              <w:rPr w:hint="eastAsia">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spacing w:before="0" w:after="0" w:line="240" w:lineRule="auto"/>
              <w:ind w:firstLine="0"/>
              <w:jc w:val="center"/>
            </w:pPr>
            <w:r>
              <w:rPr w:hint="eastAsia">
                <w:rFonts w:hint="eastAsia" w:ascii="Times New Roman" w:hAnsi="Times New Roman" w:eastAsia="宋体" w:cs="Times New Roman"/>
                <w:b/>
                <w:sz w:val="15"/>
                <w:szCs w:val="16"/>
              </w:rPr>
              <w:t>原始 p</w:t>
            </w:r>
          </w:p>
        </w:tc>
        <w:tc>
          <w:tcPr>
            <w:shd w:val="clear" w:color="auto" w:fill="D9EAF7"/>
            <w:tcMar>
              <w:top w:w="60" w:type="dxa"/>
              <w:left w:w="70" w:type="dxa"/>
              <w:bottom w:w="60" w:type="dxa"/>
              <w:right w:w="70" w:type="dxa"/>
            </w:tcMar>
            <w:vAlign w:val="center"/>
          </w:tcPr>
          <w:p w14:paraId="7F24CB35">
            <w:pPr>
              <w:spacing w:before="0" w:after="0" w:line="240" w:lineRule="auto"/>
              <w:ind w:firstLine="0"/>
              <w:jc w:val="center"/>
            </w:pPr>
            <w:r>
              <w:rPr w:hint="eastAsia">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37">
            <w:pPr>
              <w:spacing w:before="0" w:after="0" w:line="240" w:lineRule="auto"/>
              <w:ind w:firstLine="0"/>
              <w:jc w:val="center"/>
            </w:pPr>
            <w:r>
              <w:rPr w:hint="eastAsia">
                <w:rFonts w:hint="eastAsia" w:ascii="Times New Roman" w:hAnsi="Times New Roman" w:eastAsia="宋体" w:cs="Times New Roman"/>
                <w:sz w:val="15"/>
                <w:szCs w:val="16"/>
              </w:rPr>
              <w:t>场景A</w:t>
            </w:r>
          </w:p>
        </w:tc>
        <w:tc>
          <w:tcPr>
            <w:tcMar>
              <w:top w:w="60" w:type="dxa"/>
              <w:left w:w="70" w:type="dxa"/>
              <w:bottom w:w="60" w:type="dxa"/>
              <w:right w:w="70" w:type="dxa"/>
            </w:tcMar>
            <w:vAlign w:val="center"/>
          </w:tcPr>
          <w:p w14:paraId="7F24CB39">
            <w:pPr>
              <w:spacing w:before="0" w:after="0" w:line="240" w:lineRule="auto"/>
              <w:ind w:firstLine="0"/>
              <w:jc w:val="center"/>
            </w:pPr>
            <w:r>
              <w:rPr w:hint="eastAsia">
                <w:rFonts w:hint="eastAsia" w:ascii="Times New Roman" w:hAnsi="Times New Roman" w:eastAsia="宋体" w:cs="Times New Roman"/>
                <w:sz w:val="15"/>
                <w:szCs w:val="16"/>
              </w:rPr>
              <w:t>19/30 / 13/30</w:t>
            </w:r>
          </w:p>
        </w:tc>
        <w:tc>
          <w:tcPr>
            <w:tcMar>
              <w:top w:w="60" w:type="dxa"/>
              <w:left w:w="70" w:type="dxa"/>
              <w:bottom w:w="60" w:type="dxa"/>
              <w:right w:w="70" w:type="dxa"/>
            </w:tcMar>
            <w:vAlign w:val="center"/>
          </w:tcPr>
          <w:p w14:paraId="7F24CB3B">
            <w:pPr>
              <w:spacing w:before="0" w:after="0" w:line="240" w:lineRule="auto"/>
              <w:ind w:firstLine="0"/>
              <w:jc w:val="center"/>
            </w:pPr>
            <w:r>
              <w:rPr w:hint="eastAsia">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spacing w:before="0" w:after="0" w:line="240" w:lineRule="auto"/>
              <w:ind w:firstLine="0"/>
              <w:jc w:val="center"/>
            </w:pPr>
            <w:r>
              <w:rPr w:hint="eastAsia">
                <w:rFonts w:hint="eastAsia" w:ascii="Times New Roman" w:hAnsi="Times New Roman" w:eastAsia="宋体" w:cs="Times New Roman"/>
                <w:sz w:val="15"/>
                <w:szCs w:val="16"/>
              </w:rPr>
              <w:t>0.1094</w:t>
            </w:r>
          </w:p>
        </w:tc>
        <w:tc>
          <w:tcPr>
            <w:tcMar>
              <w:top w:w="60" w:type="dxa"/>
              <w:left w:w="70" w:type="dxa"/>
              <w:bottom w:w="60" w:type="dxa"/>
              <w:right w:w="70" w:type="dxa"/>
            </w:tcMar>
            <w:vAlign w:val="center"/>
          </w:tcPr>
          <w:p w14:paraId="7F24CB3F">
            <w:pPr>
              <w:spacing w:before="0" w:after="0" w:line="240" w:lineRule="auto"/>
              <w:ind w:firstLine="0"/>
              <w:jc w:val="center"/>
            </w:pPr>
            <w:r>
              <w:rPr w:hint="eastAsia">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41">
            <w:pPr>
              <w:spacing w:before="0" w:after="0" w:line="240" w:lineRule="auto"/>
              <w:ind w:firstLine="0"/>
              <w:jc w:val="center"/>
            </w:pPr>
            <w:r>
              <w:rPr w:hint="eastAsia">
                <w:rFonts w:hint="eastAsia" w:ascii="Times New Roman" w:hAnsi="Times New Roman" w:eastAsia="宋体" w:cs="Times New Roman"/>
                <w:sz w:val="15"/>
                <w:szCs w:val="16"/>
              </w:rPr>
              <w:t>场景B</w:t>
            </w:r>
          </w:p>
        </w:tc>
        <w:tc>
          <w:tcPr>
            <w:tcMar>
              <w:top w:w="60" w:type="dxa"/>
              <w:left w:w="70" w:type="dxa"/>
              <w:bottom w:w="60" w:type="dxa"/>
              <w:right w:w="70" w:type="dxa"/>
            </w:tcMar>
            <w:vAlign w:val="center"/>
          </w:tcPr>
          <w:p w14:paraId="7F24CB43">
            <w:pPr>
              <w:spacing w:before="0" w:after="0" w:line="240" w:lineRule="auto"/>
              <w:ind w:firstLine="0"/>
              <w:jc w:val="center"/>
            </w:pPr>
            <w:r>
              <w:rPr w:hint="eastAsia">
                <w:rFonts w:hint="eastAsia" w:ascii="Times New Roman" w:hAnsi="Times New Roman" w:eastAsia="宋体" w:cs="Times New Roman"/>
                <w:sz w:val="15"/>
                <w:szCs w:val="16"/>
              </w:rPr>
              <w:t>21/30 / 29/30</w:t>
            </w:r>
          </w:p>
        </w:tc>
        <w:tc>
          <w:tcPr>
            <w:tcMar>
              <w:top w:w="60" w:type="dxa"/>
              <w:left w:w="70" w:type="dxa"/>
              <w:bottom w:w="60" w:type="dxa"/>
              <w:right w:w="70" w:type="dxa"/>
            </w:tcMar>
            <w:vAlign w:val="center"/>
          </w:tcPr>
          <w:p w14:paraId="7F24CB45">
            <w:pPr>
              <w:spacing w:before="0" w:after="0" w:line="240" w:lineRule="auto"/>
              <w:ind w:firstLine="0"/>
              <w:jc w:val="center"/>
            </w:pPr>
            <w:r>
              <w:rPr w:hint="eastAsia">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spacing w:before="0" w:after="0" w:line="240" w:lineRule="auto"/>
              <w:ind w:firstLine="0"/>
              <w:jc w:val="center"/>
            </w:pPr>
            <w:r>
              <w:rPr w:hint="eastAsia">
                <w:rFonts w:hint="eastAsia" w:ascii="Times New Roman" w:hAnsi="Times New Roman" w:eastAsia="宋体" w:cs="Times New Roman"/>
                <w:sz w:val="15"/>
                <w:szCs w:val="16"/>
              </w:rPr>
              <w:t>0.0215</w:t>
            </w:r>
          </w:p>
        </w:tc>
        <w:tc>
          <w:tcPr>
            <w:tcMar>
              <w:top w:w="60" w:type="dxa"/>
              <w:left w:w="70" w:type="dxa"/>
              <w:bottom w:w="60" w:type="dxa"/>
              <w:right w:w="70" w:type="dxa"/>
            </w:tcMar>
            <w:vAlign w:val="center"/>
          </w:tcPr>
          <w:p w14:paraId="7F24CB49">
            <w:pPr>
              <w:spacing w:before="0" w:after="0" w:line="240" w:lineRule="auto"/>
              <w:ind w:firstLine="0"/>
              <w:jc w:val="center"/>
            </w:pPr>
            <w:r>
              <w:rPr w:hint="eastAsia">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4B">
            <w:pPr>
              <w:spacing w:before="0" w:after="0" w:line="240" w:lineRule="auto"/>
              <w:ind w:firstLine="0"/>
              <w:jc w:val="center"/>
            </w:pPr>
            <w:r>
              <w:rPr w:hint="eastAsia">
                <w:rFonts w:hint="eastAsia" w:ascii="Times New Roman" w:hAnsi="Times New Roman" w:eastAsia="宋体" w:cs="Times New Roman"/>
                <w:sz w:val="15"/>
                <w:szCs w:val="16"/>
              </w:rPr>
              <w:t>场景C</w:t>
            </w:r>
          </w:p>
        </w:tc>
        <w:tc>
          <w:tcPr>
            <w:tcMar>
              <w:top w:w="60" w:type="dxa"/>
              <w:left w:w="70" w:type="dxa"/>
              <w:bottom w:w="60" w:type="dxa"/>
              <w:right w:w="70" w:type="dxa"/>
            </w:tcMar>
            <w:vAlign w:val="center"/>
          </w:tcPr>
          <w:p w14:paraId="7F24CB4D">
            <w:pPr>
              <w:spacing w:before="0" w:after="0" w:line="240" w:lineRule="auto"/>
              <w:ind w:firstLine="0"/>
              <w:jc w:val="center"/>
            </w:pPr>
            <w:r>
              <w:rPr w:hint="eastAsia">
                <w:rFonts w:hint="eastAsia" w:ascii="Times New Roman" w:hAnsi="Times New Roman" w:eastAsia="宋体" w:cs="Times New Roman"/>
                <w:sz w:val="15"/>
                <w:szCs w:val="16"/>
              </w:rPr>
              <w:t>30/30 / 30/30</w:t>
            </w:r>
          </w:p>
        </w:tc>
        <w:tc>
          <w:tcPr>
            <w:tcMar>
              <w:top w:w="60" w:type="dxa"/>
              <w:left w:w="70" w:type="dxa"/>
              <w:bottom w:w="60" w:type="dxa"/>
              <w:right w:w="70" w:type="dxa"/>
            </w:tcMar>
            <w:vAlign w:val="center"/>
          </w:tcPr>
          <w:p w14:paraId="7F24CB4F">
            <w:pPr>
              <w:spacing w:before="0" w:after="0" w:line="240" w:lineRule="auto"/>
              <w:ind w:firstLine="0"/>
              <w:jc w:val="center"/>
            </w:pPr>
            <w:r>
              <w:rPr w:hint="eastAsia">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spacing w:before="0" w:after="0" w:line="240" w:lineRule="auto"/>
              <w:ind w:firstLine="0"/>
              <w:jc w:val="center"/>
            </w:pPr>
            <w:r>
              <w:rPr w:hint="eastAsia">
                <w:rFonts w:hint="eastAsia" w:ascii="Times New Roman" w:hAnsi="Times New Roman" w:eastAsia="宋体" w:cs="Times New Roman"/>
                <w:sz w:val="15"/>
                <w:szCs w:val="16"/>
              </w:rPr>
              <w:t>1.0000</w:t>
            </w:r>
          </w:p>
        </w:tc>
        <w:tc>
          <w:tcPr>
            <w:tcMar>
              <w:top w:w="60" w:type="dxa"/>
              <w:left w:w="70" w:type="dxa"/>
              <w:bottom w:w="60" w:type="dxa"/>
              <w:right w:w="70" w:type="dxa"/>
            </w:tcMar>
            <w:vAlign w:val="center"/>
          </w:tcPr>
          <w:p w14:paraId="7F24CB53">
            <w:pPr>
              <w:spacing w:before="0" w:after="0" w:line="240" w:lineRule="auto"/>
              <w:ind w:firstLine="0"/>
              <w:jc w:val="center"/>
            </w:pPr>
            <w:r>
              <w:rPr w:hint="eastAsia">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55">
            <w:pPr>
              <w:spacing w:before="0" w:after="0" w:line="240" w:lineRule="auto"/>
              <w:ind w:firstLine="0"/>
              <w:jc w:val="center"/>
            </w:pPr>
            <w:r>
              <w:rPr w:hint="eastAsia">
                <w:rFonts w:hint="eastAsia" w:ascii="Times New Roman" w:hAnsi="Times New Roman" w:eastAsia="宋体" w:cs="Times New Roman"/>
                <w:sz w:val="15"/>
                <w:szCs w:val="16"/>
              </w:rPr>
              <w:t>场景D</w:t>
            </w:r>
          </w:p>
        </w:tc>
        <w:tc>
          <w:tcPr>
            <w:tcMar>
              <w:top w:w="60" w:type="dxa"/>
              <w:left w:w="70" w:type="dxa"/>
              <w:bottom w:w="60" w:type="dxa"/>
              <w:right w:w="70" w:type="dxa"/>
            </w:tcMar>
            <w:vAlign w:val="center"/>
          </w:tcPr>
          <w:p w14:paraId="7F24CB57">
            <w:pPr>
              <w:spacing w:before="0" w:after="0" w:line="240" w:lineRule="auto"/>
              <w:ind w:firstLine="0"/>
              <w:jc w:val="center"/>
            </w:pPr>
            <w:r>
              <w:rPr w:hint="eastAsia">
                <w:rFonts w:hint="eastAsia" w:ascii="Times New Roman" w:hAnsi="Times New Roman" w:eastAsia="宋体" w:cs="Times New Roman"/>
                <w:sz w:val="15"/>
                <w:szCs w:val="16"/>
              </w:rPr>
              <w:t>30/30 / 30/30</w:t>
            </w:r>
          </w:p>
        </w:tc>
        <w:tc>
          <w:tcPr>
            <w:tcMar>
              <w:top w:w="60" w:type="dxa"/>
              <w:left w:w="70" w:type="dxa"/>
              <w:bottom w:w="60" w:type="dxa"/>
              <w:right w:w="70" w:type="dxa"/>
            </w:tcMar>
            <w:vAlign w:val="center"/>
          </w:tcPr>
          <w:p w14:paraId="7F24CB59">
            <w:pPr>
              <w:spacing w:before="0" w:after="0" w:line="240" w:lineRule="auto"/>
              <w:ind w:firstLine="0"/>
              <w:jc w:val="center"/>
            </w:pPr>
            <w:r>
              <w:rPr w:hint="eastAsia">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spacing w:before="0" w:after="0" w:line="240" w:lineRule="auto"/>
              <w:ind w:firstLine="0"/>
              <w:jc w:val="center"/>
            </w:pPr>
            <w:r>
              <w:rPr w:hint="eastAsia">
                <w:rFonts w:hint="eastAsia" w:ascii="Times New Roman" w:hAnsi="Times New Roman" w:eastAsia="宋体" w:cs="Times New Roman"/>
                <w:sz w:val="15"/>
                <w:szCs w:val="16"/>
              </w:rPr>
              <w:t>1.0000</w:t>
            </w:r>
          </w:p>
        </w:tc>
        <w:tc>
          <w:tcPr>
            <w:tcMar>
              <w:top w:w="60" w:type="dxa"/>
              <w:left w:w="70" w:type="dxa"/>
              <w:bottom w:w="60" w:type="dxa"/>
              <w:right w:w="70" w:type="dxa"/>
            </w:tcMar>
            <w:vAlign w:val="center"/>
          </w:tcPr>
          <w:p w14:paraId="7F24CB5D">
            <w:pPr>
              <w:spacing w:before="0" w:after="0" w:line="240" w:lineRule="auto"/>
              <w:ind w:firstLine="0"/>
              <w:jc w:val="center"/>
            </w:pPr>
            <w:r>
              <w:rPr w:hint="eastAsia">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5F">
            <w:pPr>
              <w:spacing w:before="0" w:after="0" w:line="240" w:lineRule="auto"/>
              <w:ind w:firstLine="0"/>
              <w:jc w:val="center"/>
            </w:pPr>
            <w:r>
              <w:rPr w:hint="eastAsia">
                <w:rFonts w:hint="eastAsia" w:ascii="Times New Roman" w:hAnsi="Times New Roman" w:eastAsia="宋体" w:cs="Times New Roman"/>
                <w:sz w:val="15"/>
                <w:szCs w:val="16"/>
              </w:rPr>
              <w:t>场景E扩展</w:t>
            </w:r>
          </w:p>
        </w:tc>
        <w:tc>
          <w:tcPr>
            <w:tcMar>
              <w:top w:w="60" w:type="dxa"/>
              <w:left w:w="70" w:type="dxa"/>
              <w:bottom w:w="60" w:type="dxa"/>
              <w:right w:w="70" w:type="dxa"/>
            </w:tcMar>
            <w:vAlign w:val="center"/>
          </w:tcPr>
          <w:p w14:paraId="7F24CB61">
            <w:pPr>
              <w:spacing w:before="0" w:after="0" w:line="240" w:lineRule="auto"/>
              <w:ind w:firstLine="0"/>
              <w:jc w:val="center"/>
            </w:pPr>
            <w:r>
              <w:rPr w:hint="eastAsia">
                <w:rFonts w:hint="eastAsia" w:ascii="Times New Roman" w:hAnsi="Times New Roman" w:eastAsia="宋体" w:cs="Times New Roman"/>
                <w:sz w:val="15"/>
                <w:szCs w:val="16"/>
              </w:rPr>
              <w:t>0/30 / 0/30</w:t>
            </w:r>
          </w:p>
        </w:tc>
        <w:tc>
          <w:tcPr>
            <w:tcMar>
              <w:top w:w="60" w:type="dxa"/>
              <w:left w:w="70" w:type="dxa"/>
              <w:bottom w:w="60" w:type="dxa"/>
              <w:right w:w="70" w:type="dxa"/>
            </w:tcMar>
            <w:vAlign w:val="center"/>
          </w:tcPr>
          <w:p w14:paraId="7F24CB63">
            <w:pPr>
              <w:spacing w:before="0" w:after="0" w:line="240" w:lineRule="auto"/>
              <w:ind w:firstLine="0"/>
              <w:jc w:val="center"/>
            </w:pPr>
            <w:r>
              <w:rPr w:hint="eastAsia">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spacing w:before="0" w:after="0" w:line="240" w:lineRule="auto"/>
              <w:ind w:firstLine="0"/>
              <w:jc w:val="center"/>
            </w:pPr>
            <w:r>
              <w:rPr w:hint="eastAsia">
                <w:rFonts w:hint="eastAsia" w:ascii="Times New Roman" w:hAnsi="Times New Roman" w:eastAsia="宋体" w:cs="Times New Roman"/>
                <w:sz w:val="15"/>
                <w:szCs w:val="16"/>
              </w:rPr>
              <w:t>1.0000</w:t>
            </w:r>
          </w:p>
        </w:tc>
        <w:tc>
          <w:tcPr>
            <w:tcMar>
              <w:top w:w="60" w:type="dxa"/>
              <w:left w:w="70" w:type="dxa"/>
              <w:bottom w:w="60" w:type="dxa"/>
              <w:right w:w="70" w:type="dxa"/>
            </w:tcMar>
            <w:vAlign w:val="center"/>
          </w:tcPr>
          <w:p w14:paraId="7F24CB67">
            <w:pPr>
              <w:spacing w:before="0" w:after="0" w:line="240" w:lineRule="auto"/>
              <w:ind w:firstLine="0"/>
              <w:jc w:val="center"/>
            </w:pPr>
            <w:r>
              <w:rPr w:hint="eastAsia">
                <w:rFonts w:hint="eastAsia" w:ascii="Times New Roman" w:hAnsi="Times New Roman" w:eastAsia="宋体" w:cs="Times New Roman"/>
                <w:sz w:val="15"/>
                <w:szCs w:val="16"/>
              </w:rPr>
              <w:t>1.0000</w:t>
            </w:r>
          </w:p>
        </w:tc>
      </w:tr>
    </w:tbl>
    <w:p w14:paraId="7F24CB69">
      <w:pPr>
        <w:spacing w:before="0" w:after="0" w:line="276" w:lineRule="auto"/>
        <w:ind w:firstLine="0"/>
        <w:jc w:val="both"/>
      </w:pPr>
      <w:r>
        <w:rPr w:hint="eastAsia">
          <w:rFonts w:hint="eastAsia" w:ascii="Times New Roman" w:hAnsi="Times New Roman" w:eastAsia="宋体" w:cs="Times New Roman"/>
          <w:i/>
          <w:sz w:val="15"/>
          <w:szCs w:val="18"/>
        </w:rPr>
        <w:t>注：Holm校正以五个扩展场景的双侧精确McNemar检验构成一个检验族。表中结果仅用于界定独立近可行档案在诊断探测扩展策略中的当前证据边界，不与表8前四列作逐项因果解释，也不与主比较MGA结果混合。</w:t>
      </w:r>
    </w:p>
    <w:p w14:paraId="1C4DB7FC">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参考文献</w:t>
      </w:r>
    </w:p>
    <w:p w14:paraId="229793C5">
      <w:pPr>
        <w:spacing w:before="0" w:after="0" w:line="240" w:lineRule="auto"/>
        <w:ind w:left="320" w:hanging="320"/>
        <w:jc w:val="left"/>
      </w:pPr>
      <w:r>
        <w:rPr w:hint="eastAsia">
          <w:rFonts w:hint="eastAsia" w:ascii="Times New Roman" w:hAnsi="Times New Roman" w:eastAsia="宋体" w:cs="Times New Roman"/>
          <w:sz w:val="15"/>
        </w:rPr>
        <w:t>[1] J. W. Nims, R. E. Smith, and A. A. El-Keib, “Application of a genetic algorithm to power transformer design,” Electric Machines &amp; Power Systems, vol. 24, no. 6, pp. 669-680, 1996. DOI: 10.1080/07313569608955702.</w:t>
      </w:r>
    </w:p>
    <w:p w14:paraId="1282B735">
      <w:pPr>
        <w:spacing w:before="0" w:after="0" w:line="240" w:lineRule="auto"/>
        <w:ind w:left="320" w:hanging="320"/>
        <w:jc w:val="left"/>
      </w:pPr>
      <w:r>
        <w:rPr w:hint="eastAsia">
          <w:rFonts w:hint="eastAsia" w:ascii="Times New Roman" w:hAnsi="Times New Roman" w:eastAsia="宋体" w:cs="Times New Roman"/>
          <w:sz w:val="15"/>
        </w:rPr>
        <w:t>[2] P. S. Georgilakis, M. A. Tsili, and A. T. Souflaris, “A heuristic solution to the transformer manufacturing cost optimization problem,” Journal of Materials Processing Technology, vol. 181, nos. 1-3, pp. 260-266, 2007. DOI: 10.1016/j.jmatprotec.2006.03.034.</w:t>
      </w:r>
    </w:p>
    <w:p w14:paraId="73494E48">
      <w:pPr>
        <w:spacing w:before="0" w:after="0" w:line="240" w:lineRule="auto"/>
        <w:ind w:left="320" w:hanging="320"/>
        <w:jc w:val="left"/>
      </w:pPr>
      <w:r>
        <w:rPr w:hint="eastAsia">
          <w:rFonts w:hint="eastAsia" w:ascii="Times New Roman" w:hAnsi="Times New Roman" w:eastAsia="宋体" w:cs="Times New Roman"/>
          <w:sz w:val="15"/>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spacing w:before="0" w:after="0" w:line="240" w:lineRule="auto"/>
        <w:ind w:left="320" w:hanging="320"/>
        <w:jc w:val="left"/>
      </w:pPr>
      <w:r>
        <w:rPr w:hint="eastAsia">
          <w:rFonts w:hint="eastAsia" w:ascii="Times New Roman" w:hAnsi="Times New Roman" w:eastAsia="宋体" w:cs="Times New Roman"/>
          <w:sz w:val="15"/>
        </w:rPr>
        <w:t>[4] K. Deb, “An efficient constraint handling method for genetic algorithms,” Computer Methods in Applied Mechanics and Engineering, vol. 186, nos. 2-4, pp. 311-338, 2000. DOI: 10.1016/S0045-7825(99)00389-8.</w:t>
      </w:r>
    </w:p>
    <w:p w14:paraId="3843AA22">
      <w:pPr>
        <w:spacing w:before="0" w:after="0" w:line="240" w:lineRule="auto"/>
        <w:ind w:left="320" w:hanging="320"/>
        <w:jc w:val="left"/>
      </w:pPr>
      <w:r>
        <w:rPr w:hint="eastAsia">
          <w:rFonts w:hint="eastAsia" w:ascii="Times New Roman" w:hAnsi="Times New Roman" w:eastAsia="宋体" w:cs="Times New Roman"/>
          <w:sz w:val="15"/>
        </w:rPr>
        <w:t>[5] T. P. Runarsson and X. Yao, “Stochastic ranking for constrained evolutionary optimization,” IEEE Transactions on Evolutionary Computation, vol. 4, no. 3, pp. 284-294, 2000. DOI: 10.1109/4235.873238.</w:t>
      </w:r>
    </w:p>
    <w:p w14:paraId="791312C0">
      <w:pPr>
        <w:spacing w:before="0" w:after="0" w:line="240" w:lineRule="auto"/>
        <w:ind w:left="320" w:hanging="320"/>
        <w:jc w:val="left"/>
      </w:pPr>
      <w:r>
        <w:rPr w:hint="eastAsia">
          <w:rFonts w:hint="eastAsia" w:ascii="Times New Roman" w:hAnsi="Times New Roman" w:eastAsia="宋体" w:cs="Times New Roman"/>
          <w:sz w:val="15"/>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spacing w:before="0" w:after="0" w:line="240" w:lineRule="auto"/>
        <w:ind w:left="320" w:hanging="320"/>
        <w:jc w:val="left"/>
      </w:pPr>
      <w:r>
        <w:rPr w:hint="eastAsia">
          <w:rFonts w:hint="eastAsia" w:ascii="Times New Roman" w:hAnsi="Times New Roman" w:eastAsia="宋体" w:cs="Times New Roman"/>
          <w:sz w:val="15"/>
        </w:rPr>
        <w:t>[7] A. E. Eiben and J. E. Smith, Introduction to Evolutionary Computing, 2nd ed. Berlin, Germany: Springer, 2015. DOI: 10.1007/978-3-662-44874-8.</w:t>
      </w:r>
    </w:p>
    <w:p w14:paraId="2C8DA3FC">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[8] 樊叔维, 汪洁, 鱼振民, 等. 遗传算法在电力变压器和电机全局优化设计中的应用研究[J]. 西安交通大学学报, 1996, 30(6):15-21.</w:t>
      </w:r>
    </w:p>
    <w:p w14:paraId="7DFFDCA8">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[9] 潘再平, 张震, 潘晓弘. 基于QPSO算法的电力变压器优化设计[J]. 电工技术学报, 2013, 28(11):42-47.</w:t>
      </w:r>
    </w:p>
    <w:p w14:paraId="11ECBC87">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[10] 刘任, 李常建, 唐波. 基于LS-SVM与NSGA-Ⅱ的高频变压器优化设计方法[J]. 高电压技术, 2025, 51(10):5166-5174. DOI:10.13336/j.1003-6520.hve.20241143.</w:t>
      </w:r>
    </w:p>
    <w:p w14:paraId="567F2105">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[11] 袁立强, 陆子贤, 孙建宁, 段任之, 赵争鸣. 电能路由器设计自动化综述-设计流程架构和遗传算法[J]. 电工技术学报, 2020, 35(18):3878-3893. DOI:10.19595/j.cnki.1000-6753.tces.191022.</w:t>
      </w:r>
    </w:p>
    <w:p w14:paraId="59D0593D">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[12] 国家质量监督检验检疫总局, 中国国家标准化管理委员会. GB/T 1094.1-2013 电力变压器 第1部分：总则[S]. 北京: 中国标准出版社, 2013.</w:t>
      </w:r>
    </w:p>
    <w:p w14:paraId="2525A5FD">
      <w:pPr>
        <w:spacing w:after="0" w:line="240" w:lineRule="auto" w:before="0"/>
        <w:ind w:left="320" w:hanging="320"/>
        <w:jc w:val="left"/>
      </w:pPr>
      <w:r>
        <w:rPr w:hint="eastAsia">
          <w:rFonts w:hint="eastAsia" w:ascii="Times New Roman" w:hAnsi="Times New Roman" w:eastAsia="宋体" w:cs="Times New Roman"/>
          <w:sz w:val="15"/>
        </w:rPr>
        <w:t>[13] J. Liang, X. Ban, K. Yu, et al., “A survey on evolutionary constrained multiobjective optimization,” IEEE Transactions on Evolutionary Computation, vol. 27, no. 2, pp. 201-221, 2023. DOI: 10.1109/TEVC.2022.3155533.</w:t>
      </w:r>
    </w:p>
    <w:p w14:paraId="7E8050A6">
      <w:pPr>
        <w:spacing w:after="0" w:line="240" w:lineRule="auto" w:before="0"/>
        <w:ind w:left="320" w:hanging="320"/>
        <w:jc w:val="left"/>
      </w:pPr>
      <w:r>
        <w:rPr w:hint="eastAsia">
          <w:rFonts w:hint="eastAsia" w:ascii="Times New Roman" w:hAnsi="Times New Roman" w:eastAsia="宋体" w:cs="Times New Roman"/>
          <w:sz w:val="15"/>
        </w:rPr>
        <w:t>[14] C. A. C. Coello Coello, “Constraint-handling techniques used with evolutionary algorithms,” in Proceedings of the Genetic and Evolutionary Computation Conference Companion, Boston, MA, USA, 2022, pp. 1310-1333. DOI: 10.1145/3520304.3533640.</w:t>
      </w:r>
    </w:p>
    <w:p w14:paraId="3D332CB6">
      <w:pPr>
        <w:spacing w:after="0" w:line="240" w:lineRule="auto" w:before="0"/>
        <w:ind w:left="320" w:hanging="320"/>
        <w:jc w:val="left"/>
      </w:pPr>
      <w:r>
        <w:rPr w:hint="eastAsia">
          <w:rFonts w:hint="eastAsia" w:ascii="Times New Roman" w:hAnsi="Times New Roman" w:eastAsia="宋体" w:cs="Times New Roman"/>
          <w:sz w:val="15"/>
        </w:rPr>
        <w:t>[15] J. Liang, H. Lin, C. Yue, et al., “Evolutionary constrained multi-objective optimization: a review,” Vicinagearth, vol. 1, art. no. 5, 2024. DOI: 10.1007/s44336-024-00006-5.</w:t>
      </w:r>
    </w:p>
    <w:p w14:paraId="029AFDD1">
      <w:pPr>
        <w:spacing w:after="0" w:line="240" w:lineRule="auto" w:before="0"/>
        <w:ind w:left="320" w:hanging="320"/>
        <w:jc w:val="left"/>
      </w:pPr>
      <w:r>
        <w:rPr w:hint="eastAsia">
          <w:rFonts w:hint="eastAsia" w:ascii="Times New Roman" w:hAnsi="Times New Roman" w:eastAsia="宋体" w:cs="Times New Roman"/>
          <w:sz w:val="15"/>
        </w:rPr>
        <w:t>[16] Z. Li, L. Zhang, X. Chen, W. Xiao, M. Li, and B. Shi, “Three-phase transformer optimization design based on NSGA2 algorithm,” Journal of Physics: Conference Series, vol. 2591, no. 1, art. no. 012024, 2023. DOI: 10.1088/1742-6596/2591/1/012024.</w:t>
      </w:r>
    </w:p>
    <w:p w14:paraId="3200CA12">
      <w:pPr>
        <w:spacing w:after="0" w:line="240" w:lineRule="auto" w:before="0"/>
        <w:ind w:left="320" w:hanging="320"/>
        <w:jc w:val="left"/>
      </w:pPr>
      <w:r>
        <w:br w:type="column"/>
      </w:r>
      <w:r>
        <w:rPr w:hint="eastAsia">
          <w:rFonts w:hint="eastAsia" w:ascii="Times New Roman" w:hAnsi="Times New Roman" w:eastAsia="宋体" w:cs="Times New Roman"/>
          <w:sz w:val="15"/>
        </w:rPr>
        <w:t>[17] 陈少淼, 陈瑞, 梁伟, 李仁发, 李智勇. 面向复杂约束优化问题的进化算法综述[J]. 软件学报, 2023, 34(2):565-581. DOI:10.13328/j.cnki.jos.006711.</w:t>
      </w:r>
    </w:p>
    <w:sectPr>
      <w:headerReference r:id="rId7" w:type="default"/>
      <w:footerReference r:id="rId8" w:type="default"/>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CB3380"/>
    <w:rsid w:val="29713CA1"/>
    <w:rsid w:val="319270FF"/>
    <w:rsid w:val="34A62072"/>
    <w:rsid w:val="6715065E"/>
    <w:rsid w:val="68556DB7"/>
    <w:rsid w:val="6E97636A"/>
    <w:rsid w:val="789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Times New Roman" w:hAnsi="Times New Roman" w:eastAsia="宋体" w:cs="Times New Roman"/>
    </w:rPr>
  </w:style>
  <w:style w:type="table" w:default="1" w:styleId="32">
    <w:name w:val="Normal Table"/>
    <w:semiHidden/>
    <w:unhideWhenUsed/>
    <w:uiPriority w:val="99"/>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宋体" w:cs="Times New Roman"/>
    </w:rPr>
  </w:style>
  <w:style w:type="paragraph" w:styleId="13">
    <w:name w:val="List Number 2"/>
    <w:basedOn w:val="1"/>
    <w:unhideWhenUsed/>
    <w:qFormat/>
    <w:uiPriority w:val="99"/>
    <w:pPr>
      <w:numPr>
        <w:ilvl w:val="0"/>
        <w:numId w:val="1"/>
      </w:numPr>
      <w:contextualSpacing/>
    </w:pPr>
    <w:rPr>
      <w:rFonts w:ascii="Times New Roman" w:hAnsi="Times New Roman" w:eastAsia="宋体" w:cs="Times New Roman"/>
    </w:rPr>
  </w:style>
  <w:style w:type="paragraph" w:styleId="14">
    <w:name w:val="List Number"/>
    <w:basedOn w:val="1"/>
    <w:unhideWhenUsed/>
    <w:qFormat/>
    <w:uiPriority w:val="99"/>
    <w:pPr>
      <w:numPr>
        <w:ilvl w:val="0"/>
        <w:numId w:val="2"/>
      </w:numPr>
      <w:contextualSpacing/>
    </w:pPr>
    <w:rPr>
      <w:rFonts w:ascii="Times New Roman" w:hAnsi="Times New Roman" w:eastAsia="宋体" w:cs="Times New Roman"/>
    </w:r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cs="Times New Roman"/>
    </w:rPr>
  </w:style>
  <w:style w:type="paragraph" w:styleId="17">
    <w:name w:val="Body Text 3"/>
    <w:basedOn w:val="1"/>
    <w:link w:val="146"/>
    <w:unhideWhenUsed/>
    <w:uiPriority w:val="99"/>
    <w:pPr>
      <w:spacing w:after="120"/>
    </w:pPr>
    <w:rPr>
      <w:rFonts w:ascii="Times New Roman" w:hAnsi="Times New Roman" w:eastAsia="宋体" w:cs="Times New Roman"/>
      <w:sz w:val="16"/>
      <w:szCs w:val="16"/>
    </w:rPr>
  </w:style>
  <w:style w:type="paragraph" w:styleId="18">
    <w:name w:val="List Bullet 3"/>
    <w:basedOn w:val="1"/>
    <w:unhideWhenUsed/>
    <w:qFormat/>
    <w:uiPriority w:val="99"/>
    <w:pPr>
      <w:numPr>
        <w:ilvl w:val="0"/>
        <w:numId w:val="4"/>
      </w:numPr>
      <w:contextualSpacing/>
    </w:pPr>
    <w:rPr>
      <w:rFonts w:ascii="Times New Roman" w:hAnsi="Times New Roman" w:eastAsia="宋体" w:cs="Times New Roman"/>
    </w:rPr>
  </w:style>
  <w:style w:type="paragraph" w:styleId="19">
    <w:name w:val="Body Text"/>
    <w:basedOn w:val="1"/>
    <w:link w:val="144"/>
    <w:unhideWhenUsed/>
    <w:uiPriority w:val="99"/>
    <w:pPr>
      <w:spacing w:after="120"/>
    </w:pPr>
    <w:rPr>
      <w:rFonts w:ascii="Times New Roman" w:hAnsi="Times New Roman" w:eastAsia="宋体" w:cs="Times New Roman"/>
    </w:rPr>
  </w:style>
  <w:style w:type="paragraph" w:styleId="20">
    <w:name w:val="List Number 3"/>
    <w:basedOn w:val="1"/>
    <w:unhideWhenUsed/>
    <w:uiPriority w:val="99"/>
    <w:pPr>
      <w:numPr>
        <w:ilvl w:val="0"/>
        <w:numId w:val="5"/>
      </w:numPr>
      <w:contextualSpacing/>
    </w:pPr>
    <w:rPr>
      <w:rFonts w:ascii="Times New Roman" w:hAnsi="Times New Roman" w:eastAsia="宋体" w:cs="Times New Roman"/>
    </w:rPr>
  </w:style>
  <w:style w:type="paragraph" w:styleId="21">
    <w:name w:val="List 2"/>
    <w:basedOn w:val="1"/>
    <w:unhideWhenUsed/>
    <w:uiPriority w:val="99"/>
    <w:pPr>
      <w:ind w:left="720" w:hanging="360"/>
      <w:contextualSpacing/>
    </w:pPr>
    <w:rPr>
      <w:rFonts w:ascii="Times New Roman" w:hAnsi="Times New Roman" w:eastAsia="宋体" w:cs="Times New Roman"/>
    </w:rPr>
  </w:style>
  <w:style w:type="paragraph" w:styleId="22">
    <w:name w:val="List Continue"/>
    <w:basedOn w:val="1"/>
    <w:unhideWhenUsed/>
    <w:uiPriority w:val="99"/>
    <w:pPr>
      <w:spacing w:after="120"/>
      <w:ind w:left="360"/>
      <w:contextualSpacing/>
    </w:pPr>
    <w:rPr>
      <w:rFonts w:ascii="Times New Roman" w:hAnsi="Times New Roman" w:eastAsia="宋体" w:cs="Times New Roman"/>
    </w:rPr>
  </w:style>
  <w:style w:type="paragraph" w:styleId="23">
    <w:name w:val="List Bullet 2"/>
    <w:basedOn w:val="1"/>
    <w:unhideWhenUsed/>
    <w:uiPriority w:val="99"/>
    <w:pPr>
      <w:numPr>
        <w:ilvl w:val="0"/>
        <w:numId w:val="6"/>
      </w:numPr>
      <w:contextualSpacing/>
    </w:pPr>
    <w:rPr>
      <w:rFonts w:ascii="Times New Roman" w:hAnsi="Times New Roman" w:eastAsia="宋体" w:cs="Times New Roman"/>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宋体" w:cs="Times New Roman"/>
    </w:rPr>
  </w:style>
  <w:style w:type="paragraph" w:styleId="28">
    <w:name w:val="Body Text 2"/>
    <w:basedOn w:val="1"/>
    <w:link w:val="145"/>
    <w:unhideWhenUsed/>
    <w:uiPriority w:val="99"/>
    <w:pPr>
      <w:spacing w:after="120" w:line="480" w:lineRule="auto"/>
    </w:pPr>
    <w:rPr>
      <w:rFonts w:ascii="Times New Roman" w:hAnsi="Times New Roman" w:eastAsia="宋体" w:cs="Times New Roman"/>
    </w:rPr>
  </w:style>
  <w:style w:type="paragraph" w:styleId="29">
    <w:name w:val="List Continue 2"/>
    <w:basedOn w:val="1"/>
    <w:unhideWhenUsed/>
    <w:uiPriority w:val="99"/>
    <w:pPr>
      <w:spacing w:after="120"/>
      <w:ind w:left="720"/>
      <w:contextualSpacing/>
    </w:pPr>
    <w:rPr>
      <w:rFonts w:ascii="Times New Roman" w:hAnsi="Times New Roman" w:eastAsia="宋体" w:cs="Times New Roman"/>
    </w:rPr>
  </w:style>
  <w:style w:type="paragraph" w:styleId="30">
    <w:name w:val="List Continue 3"/>
    <w:basedOn w:val="1"/>
    <w:unhideWhenUsed/>
    <w:uiPriority w:val="99"/>
    <w:pPr>
      <w:spacing w:after="120"/>
      <w:ind w:left="1080"/>
      <w:contextualSpacing/>
    </w:pPr>
    <w:rPr>
      <w:rFonts w:ascii="Times New Roman" w:hAnsi="Times New Roman" w:eastAsia="宋体" w:cs="Times New Roman"/>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customStyle="1" w:styleId="135">
    <w:name w:val="Header Char"/>
    <w:basedOn w:val="132"/>
    <w:link w:val="25"/>
    <w:qFormat/>
    <w:uiPriority w:val="99"/>
    <w:rPr>
      <w:rFonts w:ascii="Times New Roman" w:hAnsi="Times New Roman" w:eastAsia="宋体" w:cs="Times New Roman"/>
    </w:rPr>
  </w:style>
  <w:style w:type="character" w:customStyle="1" w:styleId="136">
    <w:name w:val="Footer Char"/>
    <w:basedOn w:val="132"/>
    <w:link w:val="24"/>
    <w:uiPriority w:val="99"/>
    <w:rPr>
      <w:rFonts w:ascii="Times New Roman" w:hAnsi="Times New Roman" w:eastAsia="宋体" w:cs="Times New Roman"/>
    </w:rPr>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Times New Roman"/>
    </w:rPr>
  </w:style>
  <w:style w:type="character" w:customStyle="1" w:styleId="144">
    <w:name w:val="Body Text Char"/>
    <w:basedOn w:val="132"/>
    <w:link w:val="19"/>
    <w:qFormat/>
    <w:uiPriority w:val="99"/>
    <w:rPr>
      <w:rFonts w:ascii="Times New Roman" w:hAnsi="Times New Roman" w:eastAsia="宋体" w:cs="Times New Roman"/>
    </w:rPr>
  </w:style>
  <w:style w:type="character" w:customStyle="1" w:styleId="145">
    <w:name w:val="Body Text 2 Char"/>
    <w:basedOn w:val="132"/>
    <w:link w:val="28"/>
    <w:uiPriority w:val="99"/>
    <w:rPr>
      <w:rFonts w:ascii="Times New Roman" w:hAnsi="Times New Roman" w:eastAsia="宋体" w:cs="Times New Roman"/>
    </w:rPr>
  </w:style>
  <w:style w:type="character" w:customStyle="1" w:styleId="146">
    <w:name w:val="Body Text 3 Char"/>
    <w:basedOn w:val="132"/>
    <w:link w:val="17"/>
    <w:uiPriority w:val="99"/>
    <w:rPr>
      <w:rFonts w:ascii="Times New Roman" w:hAnsi="Times New Roman" w:eastAsia="宋体" w:cs="Times New Roman"/>
      <w:sz w:val="16"/>
      <w:szCs w:val="16"/>
    </w:rPr>
  </w:style>
  <w:style w:type="character" w:customStyle="1" w:styleId="147">
    <w:name w:val="Macro Text Char"/>
    <w:basedOn w:val="132"/>
    <w:link w:val="2"/>
    <w:qFormat/>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Times New Roman" w:hAnsi="Times New Roman" w:eastAsia="宋体" w:cs="Times New Roman"/>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sv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4996</Words>
  <Characters>7310</Characters>
  <Lines>0</Lines>
  <Paragraphs>0</Paragraphs>
  <TotalTime>0</TotalTime>
  <ScaleCrop>false</ScaleCrop>
  <LinksUpToDate>false</LinksUpToDate>
  <CharactersWithSpaces>7627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2026-09-29T10:04:13Z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