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实名认证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实名认证分两种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一种是新注册的用户进行实名认证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一种是老用户开户失败实名认证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实名认证是跳</w:t>
      </w:r>
      <w:r>
        <w:rPr>
          <w:rFonts w:hint="default" w:ascii="Microsoft Sans Serif" w:hAnsi="Microsoft Sans Serif" w:eastAsia="Microsoft Sans Serif"/>
          <w:sz w:val="20"/>
        </w:rPr>
        <w:t>node.js</w:t>
      </w:r>
      <w:r>
        <w:rPr>
          <w:rFonts w:hint="eastAsia" w:ascii="微软雅黑" w:hAnsi="微软雅黑" w:eastAsia="微软雅黑"/>
          <w:sz w:val="20"/>
          <w:lang w:val="zh-CN"/>
        </w:rPr>
        <w:t>页面，使用</w:t>
      </w:r>
      <w:r>
        <w:rPr>
          <w:rFonts w:hint="default" w:ascii="Microsoft Sans Serif" w:hAnsi="Microsoft Sans Serif" w:eastAsia="Microsoft Sans Serif"/>
          <w:sz w:val="20"/>
          <w:lang w:val="en-US"/>
        </w:rPr>
        <w:t>backbone.js</w:t>
      </w:r>
      <w:r>
        <w:rPr>
          <w:rFonts w:hint="eastAsia" w:ascii="微软雅黑" w:hAnsi="微软雅黑" w:eastAsia="微软雅黑"/>
          <w:sz w:val="20"/>
          <w:lang w:val="zh-CN"/>
        </w:rPr>
        <w:t>技术</w:t>
      </w:r>
      <w:r>
        <w:rPr>
          <w:rFonts w:hint="default" w:ascii="Microsoft Sans Serif" w:hAnsi="Microsoft Sans Serif" w:eastAsia="Microsoft Sans Serif"/>
          <w:sz w:val="20"/>
          <w:lang w:val="en-US"/>
        </w:rPr>
        <w:t>ajax</w:t>
      </w:r>
      <w:r>
        <w:rPr>
          <w:rFonts w:hint="eastAsia" w:ascii="微软雅黑" w:hAnsi="微软雅黑" w:eastAsia="微软雅黑"/>
          <w:sz w:val="20"/>
          <w:lang w:val="zh-CN"/>
        </w:rPr>
        <w:t>部分页面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PC端新用户实名认证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22"/>
        <w:gridCol w:w="7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</w:t>
            </w:r>
          </w:p>
        </w:tc>
        <w:tc>
          <w:tcPr>
            <w:tcW w:w="7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/views/center/user-tradeAudit/user-tradeAudit.xtpl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7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/center#/user-tradeAudit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/js/center/tradeAudit.js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3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3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PC端老用户二次实名认证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/views/center/user-tradeAudit2/user-tradeAudit2.xtpl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/center#/user-tradeAudit2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/js/center/tradeAudit2.js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 实名认证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spacing w:beforeLines="0" w:afterLines="0"/>
        <w:jc w:val="left"/>
        <w:rPr>
          <w:rFonts w:hint="eastAsia" w:ascii="Microsoft Sans Serif" w:hAnsi="Microsoft Sans Serif"/>
          <w:sz w:val="20"/>
          <w:lang w:val="en-US" w:eastAsia="zh-CN"/>
        </w:rPr>
      </w:pPr>
      <w:r>
        <w:rPr>
          <w:rFonts w:hint="eastAsia" w:ascii="Microsoft Sans Serif" w:hAnsi="Microsoft Sans Serif"/>
          <w:sz w:val="20"/>
          <w:lang w:val="en-US" w:eastAsia="zh-CN"/>
        </w:rPr>
        <w:t>安卓&amp;微信&amp;HTML5实名认证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/views/app_views/center/tradeAudit.xtpl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tradeAudit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/static_app/js/tradeAudit.js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spacing w:beforeLines="0" w:afterLines="0"/>
        <w:jc w:val="left"/>
        <w:rPr>
          <w:rFonts w:hint="eastAsia" w:ascii="Microsoft Sans Serif" w:hAnsi="Microsoft Sans Serif"/>
          <w:sz w:val="20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332AE"/>
    <w:rsid w:val="01CC5054"/>
    <w:rsid w:val="0E0673C3"/>
    <w:rsid w:val="17784083"/>
    <w:rsid w:val="17B462F1"/>
    <w:rsid w:val="2DDF0B57"/>
    <w:rsid w:val="50865C5E"/>
    <w:rsid w:val="58D07D5A"/>
    <w:rsid w:val="64C30CEF"/>
    <w:rsid w:val="64E133BD"/>
    <w:rsid w:val="6AA93125"/>
    <w:rsid w:val="7E377CC3"/>
    <w:rsid w:val="7F600D64"/>
    <w:rsid w:val="7FD96D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3"/>
    <w:next w:val="1"/>
    <w:unhideWhenUsed/>
    <w:uiPriority w:val="99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黑体" w:asciiTheme="minorAscii" w:hAnsiTheme="minorAscii"/>
      <w:kern w:val="44"/>
    </w:rPr>
  </w:style>
  <w:style w:type="paragraph" w:styleId="4">
    <w:name w:val="heading 2"/>
    <w:basedOn w:val="2"/>
    <w:next w:val="1"/>
    <w:unhideWhenUsed/>
    <w:uiPriority w:val="99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/>
      <w:sz w:val="28"/>
    </w:rPr>
  </w:style>
  <w:style w:type="character" w:default="1" w:styleId="5">
    <w:name w:val="Default Paragraph Font"/>
    <w:unhideWhenUsed/>
    <w:uiPriority w:val="99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unhideWhenUsed/>
    <w:uiPriority w:val="99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7">
    <w:name w:val="Table Grid"/>
    <w:basedOn w:val="6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2016-08-18T02:22:08Z</dcterms:created>
  <dc:creator>dev</dc:creator>
  <cp:lastModifiedBy>dev</cp:lastModifiedBy>
  <dcterms:modified xsi:type="dcterms:W3CDTF">2016-08-18T02:39:35Z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