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Qlib Alpha158 因子详解手册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微软开源量化投资平台 Qlib 核心因子库完整解析</w:t>
      </w:r>
    </w:p>
    <w:p>
      <w:pPr>
        <w:pStyle w:val="Heading2"/>
      </w:pPr>
      <w:r>
        <w:t xml:space="preserve">概述</w:t>
      </w:r>
    </w:p>
    <w:p>
      <w:pPr>
        <w:spacing w:after="200"/>
      </w:pPr>
      <w:r>
        <w:t xml:space="preserve">Alpha158 是微软开源量化投资平台 Qlib 提供的核心特征集之一，包含 158 个经过市场验证的量化因子。这些因子基于技术分析理论，旨在捕捉股票市场中的价格波动模式与量价关系，广泛应用于股票预测模型的训练和评估。</w:t>
      </w:r>
    </w:p>
    <w:p>
      <w:pPr>
        <w:pStyle w:val="Heading2"/>
      </w:pPr>
      <w:r>
        <w:t xml:space="preserve">因子分类总览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因子数量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K线基础因子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9个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基于单日 OHLC 数据计算，反映价格形态特征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静态价格因子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4个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基础价格特征，标准化为相对当前收盘价的比值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趋势类因子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25个 (5×5)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使用 5/10/20/30/60 天滚动窗口计算的趋势指标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波动类因子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30个 (6×5)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价格波动、极值、分位数等统计特征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极值位置类因子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15个 (3×5)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最高价/最低价出现的时间位置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价量统计类因子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45个 (9×5)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价格与成交量的相关性及涨跌统计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成交量因子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30个 (6×5)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成交量相关的技术指标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公式函数说明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$close/$open/$high/$low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收盘价/开盘价/最高价/最低价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$close 表示当日收盘价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$vwap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成交量加权平均价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Volume Weighted Average Price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$volume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成交量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当日成交股数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Ref(x,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周期前的值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Ref($close, 5) 表示5日前收盘价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Mean(x,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周期简单移动平均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Mean($close, 20) 表示20日均线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Std(x,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周期标准差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Std($close, 10) 表示10日波动率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Slope(x,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周期线性回归斜率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表示价格趋势强度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Rsquare(x,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周期线性回归 R²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表示趋势线性程度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Resi(x,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周期线性回归残差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实际值与趋势线偏差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Max(x,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周期最大值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Max($high, 20) 表示20日最高价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Min(x,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周期最小值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Min($low, 20) 表示20日最低价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IdxMax(x,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周期最大值出现的索引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距离当前日的天数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IdxMin(x,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周期最小值出现的索引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距离当前日的天数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Quantile(x, n, q)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 q 分位数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Quantile($close, 20, 0.8) 表示80%分位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Rank(x,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当前值在 n 周期内的排名百分位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0-1 之间，1 表示最高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Corr(x, y,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x 和 y 的 n 周期相关系数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价格与成交量相关性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Sum(x, 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n 周期求和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Sum($volume, 5) 表示5日成交量和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Greater(a, 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返回较大值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Greater($open, $close)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Less(a, 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返回较小值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Less($open, $close)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Log(x)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自然对数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Log($volume+1) 处理成交量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一、K线基础因子 (9个)</w:t>
      </w:r>
    </w:p>
    <w:p>
      <w:pPr>
        <w:spacing w:after="200"/>
      </w:pPr>
      <w:r>
        <w:t xml:space="preserve">K线基础因子基于单日 OHLC（开盘价、最高价、最低价、收盘价）数据计算，反映当日价格形态特征和市场情绪。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5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逻辑与适用场景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KMID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($close-$open)/$open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【逻辑】收盘与开盘价差比例，反映日内涨跌幅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【适用】衡量当日多空力量对比，正值表示多头占优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【成立原因】开盘价反映隔夜信息消化后的市场共识，收盘价反映全天博弈结果，两者差异体现日内资金流向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KLEN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($high-$low)/$open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【逻辑】最高最低价差比例，反映日内波动幅度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【适用】衡量当日价格波动剧烈程度，波动越大交易机会越多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【成立原因】振幅反映市场分歧程度，大振幅通常伴随重要信息释放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KMID2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($close-$open)/($high-$low+1e-12)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【逻辑】收开差与振幅比，反映实体占比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【适用】识别光头光脚K线（值接近±1）或十字星（值接近0）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【成立原因】实体占比反映趋势确定性，大实体表示趋势明确，小实体表示犹豫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KUP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($high-Greater($open,$close))/$open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【逻辑】上影线比例，反映上方压力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【适用】识别冲高回落形态，上影线长表示抛压重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【成立原因】上影线代表盘中曾上涨但被抛压打回，长上影线预示短期顶部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KUP2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($high-Greater($open,$close))/($high-$low+1e-12)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【逻辑】上影线占总振幅比例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【适用】标准化后的上影线度量，便于跨股票比较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【成立原因】消除不同股票振幅差异的影响，更纯粹地反映上影线相对强度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KLOW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(Less($open,$close)-$low)/$open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【逻辑】下影线比例，反映下方支撑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【适用】识别探底回升形态，下影线长表示支撑强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【成立原因】下影线代表盘中曾下跌但被买盘托起，长下影线预示短期底部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KLOW2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(Less($open,$close)-$low)/($high-$low+1e-12)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【逻辑】下影线占总振幅比例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【适用】标准化后的下影线度量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【成立原因】消除不同股票振幅差异，更纯粹地反映下影线相对强度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KSFT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(2*$close-$high-$low)/$open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【逻辑】收盘价相对于中点位置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【适用】衡量收盘在日内区间的相对位置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【成立原因】收盘越接近高点，多头越强；越接近低点，空头越强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KSFT2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(2*$close-$high-$low)/($high-$low+1e-12)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【逻辑】收盘价在振幅中的相对位置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【适用】标准化后的收盘位置度量，范围[-1, 1]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【成立原因】值为1表示收盘在最高点，-1表示在最低点，0表示在中点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二、静态价格因子 (4个)</w:t>
      </w:r>
    </w:p>
    <w:p>
      <w:pPr>
        <w:spacing w:after="200"/>
      </w:pPr>
      <w:r>
        <w:t xml:space="preserve">静态价格因子将当日各价格点标准化为相对收盘价的比值，消除价格量纲影响，便于跨股票和跨时间比较。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5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逻辑与适用场景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OPEN0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$open/$close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【逻辑】当日开盘价相对收盘价比值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【适用】衡量高开/低开程度，值&gt;1表示低开，&lt;1表示高开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【成立原因】高开反映利好刺激，低开反映利空刺激，与收盘对比可判断日内走势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HIGH0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$high/$close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【逻辑】当日最高价相对收盘价比值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【适用】衡量冲高回落幅度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【成立原因】值越大表示从高点回落越多，抛压越重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LOW0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$low/$close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【逻辑】当日最低价相对收盘价比值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【适用】衡量探底回升幅度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【成立原因】值越小表示从低点回升越多，买盘越强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VWAP0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eastAsia="Microsoft YaHei" w:hAnsi="Consolas"/>
                <w:color w:val="C00000"/>
                <w:sz w:val="18"/>
                <w:szCs w:val="18"/>
              </w:rPr>
              <w:t xml:space="preserve">$vwap/$close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【逻辑】当日成交均价相对收盘价比值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【适用】判断收盘相对全天成交均价的强弱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【成立原因】收盘在VWAP之上表示强势，之下表示弱势；VWAP是机构成本参考线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三、趋势类因子 (25个)</w:t>
      </w:r>
    </w:p>
    <w:p>
      <w:pPr>
        <w:spacing w:after="200"/>
      </w:pPr>
      <w:r>
        <w:t xml:space="preserve">趋势类因子使用 5/10/20/30/60 天滚动窗口计算，捕捉股价的中长期运动趋势。每个基础指标生成5个不同周期的特征。</w:t>
      </w:r>
    </w:p>
    <w:p>
      <w:pPr>
        <w:pStyle w:val="Heading3"/>
      </w:pPr>
      <w:r>
        <w:t xml:space="preserve">3.1 价格变化率 (ROC)</w:t>
      </w:r>
    </w:p>
    <w:p>
      <w:pPr>
        <w:spacing w:after="100"/>
      </w:pPr>
      <w:r>
        <w:t xml:space="preserve">公式：ROCd = Ref($close, d)/$close，其中 d ∈ {5, 10, 20, 30, 60}</w:t>
      </w:r>
    </w:p>
    <w:p>
      <w:pPr>
        <w:spacing w:after="100"/>
      </w:pPr>
      <w:r>
        <w:t xml:space="preserve">【逻辑】d 日前收盘价与当前价的比值，反映价格变化率。值&gt;1表示过去d日上涨，&lt;1表示下跌。</w:t>
      </w:r>
    </w:p>
    <w:p>
      <w:pPr>
        <w:spacing w:after="100"/>
      </w:pPr>
      <w:r>
        <w:t xml:space="preserve">【适用】动量策略，追涨杀跌。短周期(5,10)捕捉短期动量，长周期(30,60)捕捉中长期趋势。</w:t>
      </w:r>
    </w:p>
    <w:p>
      <w:pPr>
        <w:spacing w:after="200"/>
      </w:pPr>
      <w:r>
        <w:t xml:space="preserve">【成立原因】基于动量效应，过去上涨的股票未来更可能继续上涨（惯性原理）。</w:t>
      </w:r>
    </w:p>
    <w:p>
      <w:pPr>
        <w:pStyle w:val="Heading3"/>
      </w:pPr>
      <w:r>
        <w:t xml:space="preserve">3.2 移动平均线 (MA)</w:t>
      </w:r>
    </w:p>
    <w:p>
      <w:pPr>
        <w:spacing w:after="100"/>
      </w:pPr>
      <w:r>
        <w:t xml:space="preserve">公式：MAd = Mean($close, d)/$close，其中 d ∈ {5, 10, 20, 30, 60}</w:t>
      </w:r>
    </w:p>
    <w:p>
      <w:pPr>
        <w:spacing w:after="100"/>
      </w:pPr>
      <w:r>
        <w:t xml:space="preserve">【逻辑】d 日移动平均相对当前价格的位置。值&gt;1表示价格在均线之下（超跌），&lt;1表示在均线之上（超涨）。</w:t>
      </w:r>
    </w:p>
    <w:p>
      <w:pPr>
        <w:spacing w:after="100"/>
      </w:pPr>
      <w:r>
        <w:t xml:space="preserve">【适用】均值回归策略，价格偏离均线过远时预期回归。</w:t>
      </w:r>
    </w:p>
    <w:p>
      <w:pPr>
        <w:spacing w:after="200"/>
      </w:pPr>
      <w:r>
        <w:t xml:space="preserve">【成立原因】价格围绕价值波动，均线代表一段时间内的平均成本，偏离过大时存在回归动力。</w:t>
      </w:r>
    </w:p>
    <w:p>
      <w:pPr>
        <w:pStyle w:val="Heading3"/>
      </w:pPr>
      <w:r>
        <w:t xml:space="preserve">3.3 趋势斜率 (BETA)</w:t>
      </w:r>
    </w:p>
    <w:p>
      <w:pPr>
        <w:spacing w:after="100"/>
      </w:pPr>
      <w:r>
        <w:t xml:space="preserve">公式：BETAd = Slope($close, d)/$close，其中 d ∈ {5, 10, 20, 30, 60}</w:t>
      </w:r>
    </w:p>
    <w:p>
      <w:pPr>
        <w:spacing w:after="100"/>
      </w:pPr>
      <w:r>
        <w:t xml:space="preserve">【逻辑】d 日价格线性回归斜率，反映趋势强度和方向。正值表示上升趋势，负值表示下降趋势。</w:t>
      </w:r>
    </w:p>
    <w:p>
      <w:pPr>
        <w:spacing w:after="100"/>
      </w:pPr>
      <w:r>
        <w:t xml:space="preserve">【适用】趋势跟踪策略，识别趋势形成和反转。</w:t>
      </w:r>
    </w:p>
    <w:p>
      <w:pPr>
        <w:spacing w:after="200"/>
      </w:pPr>
      <w:r>
        <w:t xml:space="preserve">【成立原因】趋势具有持续性，斜率越大趋势越强，延续概率越高。</w:t>
      </w:r>
    </w:p>
    <w:p>
      <w:pPr>
        <w:pStyle w:val="Heading3"/>
      </w:pPr>
      <w:r>
        <w:t xml:space="preserve">3.4 趋势拟合度 (RSQR)</w:t>
      </w:r>
    </w:p>
    <w:p>
      <w:pPr>
        <w:spacing w:after="100"/>
      </w:pPr>
      <w:r>
        <w:t xml:space="preserve">公式：RSQRd = Rsquare($close, d)，其中 d ∈ {5, 10, 20, 30, 60}</w:t>
      </w:r>
    </w:p>
    <w:p>
      <w:pPr>
        <w:spacing w:after="100"/>
      </w:pPr>
      <w:r>
        <w:t xml:space="preserve">【逻辑】d 日价格线性回归的 R² 值，反映趋势线性程度。值越接近1，趋势越明显。</w:t>
      </w:r>
    </w:p>
    <w:p>
      <w:pPr>
        <w:spacing w:after="100"/>
      </w:pPr>
      <w:r>
        <w:t xml:space="preserve">【适用】过滤震荡行情，只在趋势明确时交易。</w:t>
      </w:r>
    </w:p>
    <w:p>
      <w:pPr>
        <w:spacing w:after="200"/>
      </w:pPr>
      <w:r>
        <w:t xml:space="preserve">【成立原因】线性度高的趋势更可靠，噪音小的信号更值得跟随。</w:t>
      </w:r>
    </w:p>
    <w:p>
      <w:pPr>
        <w:pStyle w:val="Heading3"/>
      </w:pPr>
      <w:r>
        <w:t xml:space="preserve">3.5 回归残差 (RESI)</w:t>
      </w:r>
    </w:p>
    <w:p>
      <w:pPr>
        <w:spacing w:after="100"/>
      </w:pPr>
      <w:r>
        <w:t xml:space="preserve">公式：RESId = Resi($close, d)/$close，其中 d ∈ {5, 10, 20, 30, 60}</w:t>
      </w:r>
    </w:p>
    <w:p>
      <w:pPr>
        <w:spacing w:after="100"/>
      </w:pPr>
      <w:r>
        <w:t xml:space="preserve">【逻辑】d 日线性回归残差，反映实际价格与趋势线的偏离。正值表示在趋势线上方，负值表示在下方。</w:t>
      </w:r>
    </w:p>
    <w:p>
      <w:pPr>
        <w:spacing w:after="100"/>
      </w:pPr>
      <w:r>
        <w:t xml:space="preserve">【适用】识别价格相对趋势的偏离程度，偏离过大时预期回归趋势线。</w:t>
      </w:r>
    </w:p>
    <w:p>
      <w:pPr>
        <w:spacing w:after="200"/>
      </w:pPr>
      <w:r>
        <w:t xml:space="preserve">【成立原因】价格围绕趋势线波动，残差过大时存在向趋势线回归的动力。</w:t>
      </w:r>
    </w:p>
    <w:p>
      <w:pPr>
        <w:pStyle w:val="Heading2"/>
      </w:pPr>
      <w:r>
        <w:t xml:space="preserve">四、波动类因子 (30个)</w:t>
      </w:r>
    </w:p>
    <w:p>
      <w:pPr>
        <w:spacing w:after="200"/>
      </w:pPr>
      <w:r>
        <w:t xml:space="preserve">波动类因子反映价格波动幅度和价格位置特征，用于衡量市场不确定性和识别超买超卖状态。</w:t>
      </w:r>
    </w:p>
    <w:p>
      <w:pPr>
        <w:pStyle w:val="Heading3"/>
      </w:pPr>
      <w:r>
        <w:t xml:space="preserve">4.1 标准差 (STD)</w:t>
      </w:r>
    </w:p>
    <w:p>
      <w:pPr>
        <w:spacing w:after="100"/>
      </w:pPr>
      <w:r>
        <w:t xml:space="preserve">公式：STDd = Std($close, d)/$close，其中 d ∈ {5, 10, 20, 30, 60}</w:t>
      </w:r>
    </w:p>
    <w:p>
      <w:pPr>
        <w:spacing w:after="100"/>
      </w:pPr>
      <w:r>
        <w:t xml:space="preserve">【逻辑】d 日收盘价标准差相对当前价格的比例，反映价格波动率。</w:t>
      </w:r>
    </w:p>
    <w:p>
      <w:pPr>
        <w:spacing w:after="100"/>
      </w:pPr>
      <w:r>
        <w:t xml:space="preserve">【适用】波动率策略，高波动后往往伴随低波动（均值回归）。</w:t>
      </w:r>
    </w:p>
    <w:p>
      <w:pPr>
        <w:spacing w:after="200"/>
      </w:pPr>
      <w:r>
        <w:t xml:space="preserve">【成立原因】波动率具有聚类性和均值回归特性，高波动期后波动率倾向于下降。</w:t>
      </w:r>
    </w:p>
    <w:p>
      <w:pPr>
        <w:pStyle w:val="Heading3"/>
      </w:pPr>
      <w:r>
        <w:t xml:space="preserve">4.2 最高价 (MAX)</w:t>
      </w:r>
    </w:p>
    <w:p>
      <w:pPr>
        <w:spacing w:after="100"/>
      </w:pPr>
      <w:r>
        <w:t xml:space="preserve">公式：MAXd = Max($high, d)/$close，其中 d ∈ {5, 10, 20, 30, 60}</w:t>
      </w:r>
    </w:p>
    <w:p>
      <w:pPr>
        <w:spacing w:after="100"/>
      </w:pPr>
      <w:r>
        <w:t xml:space="preserve">【逻辑】d 日内最高价相对当前收盘价的比例。值&gt;1表示当前价格低于期间高点。</w:t>
      </w:r>
    </w:p>
    <w:p>
      <w:pPr>
        <w:spacing w:after="100"/>
      </w:pPr>
      <w:r>
        <w:t xml:space="preserve">【适用】衡量从高点回落幅度，识别支撑位。</w:t>
      </w:r>
    </w:p>
    <w:p>
      <w:pPr>
        <w:spacing w:after="200"/>
      </w:pPr>
      <w:r>
        <w:t xml:space="preserve">【成立原因】前期高点形成心理阻力位，回落幅度反映抛压强度。</w:t>
      </w:r>
    </w:p>
    <w:p>
      <w:pPr>
        <w:pStyle w:val="Heading3"/>
      </w:pPr>
      <w:r>
        <w:t xml:space="preserve">4.3 最低价 (MIN)</w:t>
      </w:r>
    </w:p>
    <w:p>
      <w:pPr>
        <w:spacing w:after="100"/>
      </w:pPr>
      <w:r>
        <w:t xml:space="preserve">公式：MINd = Min($low, d)/$close，其中 d ∈ {5, 10, 20, 30, 60}</w:t>
      </w:r>
    </w:p>
    <w:p>
      <w:pPr>
        <w:spacing w:after="100"/>
      </w:pPr>
      <w:r>
        <w:t xml:space="preserve">【逻辑】d 日内最低价相对当前收盘价的比例。值&lt;1表示当前价格高于期间低点。</w:t>
      </w:r>
    </w:p>
    <w:p>
      <w:pPr>
        <w:spacing w:after="100"/>
      </w:pPr>
      <w:r>
        <w:t xml:space="preserve">【适用】衡量从低点上涨幅度，识别阻力位。</w:t>
      </w:r>
    </w:p>
    <w:p>
      <w:pPr>
        <w:spacing w:after="200"/>
      </w:pPr>
      <w:r>
        <w:t xml:space="preserve">【成立原因】前期低点形成心理支撑位，上涨幅度反映买盘强度。</w:t>
      </w:r>
    </w:p>
    <w:p>
      <w:pPr>
        <w:pStyle w:val="Heading3"/>
      </w:pPr>
      <w:r>
        <w:t xml:space="preserve">4.4 上分位数 (QTLU)</w:t>
      </w:r>
    </w:p>
    <w:p>
      <w:pPr>
        <w:spacing w:after="100"/>
      </w:pPr>
      <w:r>
        <w:t xml:space="preserve">公式：QTLUd = Quantile($close, d, 0.8)/$close，其中 d ∈ {5, 10, 20, 30, 60}</w:t>
      </w:r>
    </w:p>
    <w:p>
      <w:pPr>
        <w:spacing w:after="100"/>
      </w:pPr>
      <w:r>
        <w:t xml:space="preserve">【逻辑】d 日收盘价 80% 分位数相对当前价格的位置。</w:t>
      </w:r>
    </w:p>
    <w:p>
      <w:pPr>
        <w:spacing w:after="100"/>
      </w:pPr>
      <w:r>
        <w:t xml:space="preserve">【适用】识别超买状态，当前价格接近或超过80%分位时可能超买。</w:t>
      </w:r>
    </w:p>
    <w:p>
      <w:pPr>
        <w:spacing w:after="200"/>
      </w:pPr>
      <w:r>
        <w:t xml:space="preserve">【成立原因】价格在历史分布中的极端位置往往预示反转，80%分位是常用的超买阈值。</w:t>
      </w:r>
    </w:p>
    <w:p>
      <w:pPr>
        <w:pStyle w:val="Heading3"/>
      </w:pPr>
      <w:r>
        <w:t xml:space="preserve">4.5 下分位数 (QTLD)</w:t>
      </w:r>
    </w:p>
    <w:p>
      <w:pPr>
        <w:spacing w:after="100"/>
      </w:pPr>
      <w:r>
        <w:t xml:space="preserve">公式：QTLDd = Quantile($close, d, 0.2)/$close，其中 d ∈ {5, 10, 20, 30, 60}</w:t>
      </w:r>
    </w:p>
    <w:p>
      <w:pPr>
        <w:spacing w:after="100"/>
      </w:pPr>
      <w:r>
        <w:t xml:space="preserve">【逻辑】d 日收盘价 20% 分位数相对当前价格的位置。</w:t>
      </w:r>
    </w:p>
    <w:p>
      <w:pPr>
        <w:spacing w:after="100"/>
      </w:pPr>
      <w:r>
        <w:t xml:space="preserve">【适用】识别超卖状态，当前价格接近或低于20%分位时可能超卖。</w:t>
      </w:r>
    </w:p>
    <w:p>
      <w:pPr>
        <w:spacing w:after="200"/>
      </w:pPr>
      <w:r>
        <w:t xml:space="preserve">【成立原因】20%分位是常用的超卖阈值，价格极端低位时反弹概率增加。</w:t>
      </w:r>
    </w:p>
    <w:p>
      <w:pPr>
        <w:pStyle w:val="Heading3"/>
      </w:pPr>
      <w:r>
        <w:t xml:space="preserve">4.6 相对强弱值 (RSV)</w:t>
      </w:r>
    </w:p>
    <w:p>
      <w:pPr>
        <w:spacing w:after="100"/>
      </w:pPr>
      <w:r>
        <w:t xml:space="preserve">公式：RSVd = ($close-Min($low,d))/(Max($high,d)-Min($low,d)+1e-12)，其中 d ∈ {5, 10, 20, 30, 60}</w:t>
      </w:r>
    </w:p>
    <w:p>
      <w:pPr>
        <w:spacing w:after="100"/>
      </w:pPr>
      <w:r>
        <w:t xml:space="preserve">【逻辑】当前收盘价在 d 日高低点区间内的相对位置，范围[0,1]。</w:t>
      </w:r>
    </w:p>
    <w:p>
      <w:pPr>
        <w:spacing w:after="100"/>
      </w:pPr>
      <w:r>
        <w:t xml:space="preserve">【适用】KDJ指标的基础，值接近1表示超买，接近0表示超卖。</w:t>
      </w:r>
    </w:p>
    <w:p>
      <w:pPr>
        <w:spacing w:after="200"/>
      </w:pPr>
      <w:r>
        <w:t xml:space="preserve">【成立原因】价格在近期区间内的极端位置往往预示短期反转，是经典的技术分析原理。</w:t>
      </w:r>
    </w:p>
    <w:p>
      <w:pPr>
        <w:pStyle w:val="Heading2"/>
      </w:pPr>
      <w:r>
        <w:t xml:space="preserve">五、极值位置类因子 (15个)</w:t>
      </w:r>
    </w:p>
    <w:p>
      <w:pPr>
        <w:spacing w:after="200"/>
      </w:pPr>
      <w:r>
        <w:t xml:space="preserve">极值位置类因子关注最高价和最低价出现的时间位置，反映市场动量和趋势变化。</w:t>
      </w:r>
    </w:p>
    <w:p>
      <w:pPr>
        <w:pStyle w:val="Heading3"/>
      </w:pPr>
      <w:r>
        <w:t xml:space="preserve">5.1 最高价位置 (IMAX)</w:t>
      </w:r>
    </w:p>
    <w:p>
      <w:pPr>
        <w:spacing w:after="100"/>
      </w:pPr>
      <w:r>
        <w:t xml:space="preserve">公式：IMAXd = IdxMax($high, d)/d，其中 d ∈ {5, 10, 20, 30, 60}</w:t>
      </w:r>
    </w:p>
    <w:p>
      <w:pPr>
        <w:spacing w:after="100"/>
      </w:pPr>
      <w:r>
        <w:t xml:space="preserve">【逻辑】d 日内最高价出现的位置（距离现在的天数/d），值越小表示高点越近。</w:t>
      </w:r>
    </w:p>
    <w:p>
      <w:pPr>
        <w:spacing w:after="100"/>
      </w:pPr>
      <w:r>
        <w:t xml:space="preserve">【适用】判断高点新鲜度，值小表示近期创高，趋势可能延续。</w:t>
      </w:r>
    </w:p>
    <w:p>
      <w:pPr>
        <w:spacing w:after="200"/>
      </w:pPr>
      <w:r>
        <w:t xml:space="preserve">【成立原因】类似Aroon指标，近期创高表示上升趋势强劲，远期创高表示可能转弱。</w:t>
      </w:r>
    </w:p>
    <w:p>
      <w:pPr>
        <w:pStyle w:val="Heading3"/>
      </w:pPr>
      <w:r>
        <w:t xml:space="preserve">5.2 最低价位置 (IMIN)</w:t>
      </w:r>
    </w:p>
    <w:p>
      <w:pPr>
        <w:spacing w:after="100"/>
      </w:pPr>
      <w:r>
        <w:t xml:space="preserve">公式：IMINd = IdxMin($low, d)/d，其中 d ∈ {5, 10, 20, 30, 60}</w:t>
      </w:r>
    </w:p>
    <w:p>
      <w:pPr>
        <w:spacing w:after="100"/>
      </w:pPr>
      <w:r>
        <w:t xml:space="preserve">【逻辑】d 日内最低价出现的位置，值越小表示低点越近。</w:t>
      </w:r>
    </w:p>
    <w:p>
      <w:pPr>
        <w:spacing w:after="100"/>
      </w:pPr>
      <w:r>
        <w:t xml:space="preserve">【适用】判断低点新鲜度，值小表示近期创新低，下跌趋势可能延续。</w:t>
      </w:r>
    </w:p>
    <w:p>
      <w:pPr>
        <w:spacing w:after="200"/>
      </w:pPr>
      <w:r>
        <w:t xml:space="preserve">【成立原因】近期创低表示下降趋势强劲，可能继续下跌。</w:t>
      </w:r>
    </w:p>
    <w:p>
      <w:pPr>
        <w:pStyle w:val="Heading3"/>
      </w:pPr>
      <w:r>
        <w:t xml:space="preserve">5.3 高低点时差 (IMXD)</w:t>
      </w:r>
    </w:p>
    <w:p>
      <w:pPr>
        <w:spacing w:after="100"/>
      </w:pPr>
      <w:r>
        <w:t xml:space="preserve">公式：IMXDd = (IdxMax($high,d)-IdxMin($low,d))/d，其中 d ∈ {5, 10, 20, 30, 60}</w:t>
      </w:r>
    </w:p>
    <w:p>
      <w:pPr>
        <w:spacing w:after="100"/>
      </w:pPr>
      <w:r>
        <w:t xml:space="preserve">【逻辑】d 日内最高价与最低价出现的时间差。正值表示先低后高（上升），负值表示先高后低（下降）。</w:t>
      </w:r>
    </w:p>
    <w:p>
      <w:pPr>
        <w:spacing w:after="100"/>
      </w:pPr>
      <w:r>
        <w:t xml:space="preserve">【适用】判断近期价格走势方向，正值越大上升趋势越明显。</w:t>
      </w:r>
    </w:p>
    <w:p>
      <w:pPr>
        <w:spacing w:after="200"/>
      </w:pPr>
      <w:r>
        <w:t xml:space="preserve">【成立原因】高低点的时间顺序反映市场主导力量，先低后高表示多头主导。</w:t>
      </w:r>
    </w:p>
    <w:p>
      <w:pPr>
        <w:pStyle w:val="Heading2"/>
      </w:pPr>
      <w:r>
        <w:t xml:space="preserve">六、价量统计类因子 (45个)</w:t>
      </w:r>
    </w:p>
    <w:p>
      <w:pPr>
        <w:spacing w:after="200"/>
      </w:pPr>
      <w:r>
        <w:t xml:space="preserve">价量统计类因子分析价格与成交量的关系，以及涨跌天数的统计特征，揭示资金流向和市场情绪。</w:t>
      </w:r>
    </w:p>
    <w:p>
      <w:pPr>
        <w:pStyle w:val="Heading3"/>
      </w:pPr>
      <w:r>
        <w:t xml:space="preserve">6.1 价量相关性 (CORR)</w:t>
      </w:r>
    </w:p>
    <w:p>
      <w:pPr>
        <w:spacing w:after="100"/>
      </w:pPr>
      <w:r>
        <w:t xml:space="preserve">公式：CORRd = Corr($close, Log($volume+1), d)，其中 d ∈ {5, 10, 20, 30, 60}</w:t>
      </w:r>
    </w:p>
    <w:p>
      <w:pPr>
        <w:spacing w:after="100"/>
      </w:pPr>
      <w:r>
        <w:t xml:space="preserve">【逻辑】d 日内收盘价与成交量（对数）的相关系数。</w:t>
      </w:r>
    </w:p>
    <w:p>
      <w:pPr>
        <w:spacing w:after="100"/>
      </w:pPr>
      <w:r>
        <w:t xml:space="preserve">【适用】正相关表示量价齐升/齐跌，负相关表示量价背离。</w:t>
      </w:r>
    </w:p>
    <w:p>
      <w:pPr>
        <w:spacing w:after="200"/>
      </w:pPr>
      <w:r>
        <w:t xml:space="preserve">【成立原因】健康上涨通常伴随成交量放大，量价背离预示趋势可能反转。</w:t>
      </w:r>
    </w:p>
    <w:p>
      <w:pPr>
        <w:pStyle w:val="Heading3"/>
      </w:pPr>
      <w:r>
        <w:t xml:space="preserve">6.2 变化率相关性 (CORD)</w:t>
      </w:r>
    </w:p>
    <w:p>
      <w:pPr>
        <w:spacing w:after="100"/>
      </w:pPr>
      <w:r>
        <w:t xml:space="preserve">公式：CORDd = Corr($close/Ref($close,1), Log($volume/Ref($volume,1)+1), d)</w:t>
      </w:r>
    </w:p>
    <w:p>
      <w:pPr>
        <w:spacing w:after="100"/>
      </w:pPr>
      <w:r>
        <w:t xml:space="preserve">【逻辑】d 日内价格变化率与成交量变化率的相关系数。</w:t>
      </w:r>
    </w:p>
    <w:p>
      <w:pPr>
        <w:spacing w:after="100"/>
      </w:pPr>
      <w:r>
        <w:t xml:space="preserve">【适用】更敏感地捕捉价量配合关系，过滤价格/成交量绝对水平的影响。</w:t>
      </w:r>
    </w:p>
    <w:p>
      <w:pPr>
        <w:spacing w:after="200"/>
      </w:pPr>
      <w:r>
        <w:t xml:space="preserve">【成立原因】价格变化与成交量变化的同步性反映市场参与者的共识程度。</w:t>
      </w:r>
    </w:p>
    <w:p>
      <w:pPr>
        <w:pStyle w:val="Heading3"/>
      </w:pPr>
      <w:r>
        <w:t xml:space="preserve">6.3 上涨天数比例 (CNTP)</w:t>
      </w:r>
    </w:p>
    <w:p>
      <w:pPr>
        <w:spacing w:after="100"/>
      </w:pPr>
      <w:r>
        <w:t xml:space="preserve">公式：CNTPd = Mean($close &gt; Ref($close, 1), d)，其中 d ∈ {5, 10, 20, 30, 60}</w:t>
      </w:r>
    </w:p>
    <w:p>
      <w:pPr>
        <w:spacing w:after="100"/>
      </w:pPr>
      <w:r>
        <w:t xml:space="preserve">【逻辑】d 日内上涨天数的比例，范围[0,1]。</w:t>
      </w:r>
    </w:p>
    <w:p>
      <w:pPr>
        <w:spacing w:after="100"/>
      </w:pPr>
      <w:r>
        <w:t xml:space="preserve">【适用】衡量上涨动能，值高表示多头强势。</w:t>
      </w:r>
    </w:p>
    <w:p>
      <w:pPr>
        <w:spacing w:after="200"/>
      </w:pPr>
      <w:r>
        <w:t xml:space="preserve">【成立原因】连续上涨反映市场情绪乐观，但过高可能预示超买。</w:t>
      </w:r>
    </w:p>
    <w:p>
      <w:pPr>
        <w:pStyle w:val="Heading3"/>
      </w:pPr>
      <w:r>
        <w:t xml:space="preserve">6.4 下跌天数比例 (CNTN)</w:t>
      </w:r>
    </w:p>
    <w:p>
      <w:pPr>
        <w:spacing w:after="100"/>
      </w:pPr>
      <w:r>
        <w:t xml:space="preserve">公式：CNTNd = Mean($close &lt; Ref($close, 1), d)，其中 d ∈ {5, 10, 20, 30, 60}</w:t>
      </w:r>
    </w:p>
    <w:p>
      <w:pPr>
        <w:spacing w:after="100"/>
      </w:pPr>
      <w:r>
        <w:t xml:space="preserve">【逻辑】d 日内下跌天数的比例，范围[0,1]。</w:t>
      </w:r>
    </w:p>
    <w:p>
      <w:pPr>
        <w:spacing w:after="100"/>
      </w:pPr>
      <w:r>
        <w:t xml:space="preserve">【适用】衡量下跌动能，值高表示空头强势。</w:t>
      </w:r>
    </w:p>
    <w:p>
      <w:pPr>
        <w:spacing w:after="200"/>
      </w:pPr>
      <w:r>
        <w:t xml:space="preserve">【成立原因】连续下跌反映市场情绪悲观，但过高可能预示超卖。</w:t>
      </w:r>
    </w:p>
    <w:p>
      <w:pPr>
        <w:pStyle w:val="Heading3"/>
      </w:pPr>
      <w:r>
        <w:t xml:space="preserve">6.5 涨跌天数差 (CNTD)</w:t>
      </w:r>
    </w:p>
    <w:p>
      <w:pPr>
        <w:spacing w:after="100"/>
      </w:pPr>
      <w:r>
        <w:t xml:space="preserve">公式：CNTDd = CNTPd - CNTNd，其中 d ∈ {5, 10, 20, 30, 60}</w:t>
      </w:r>
    </w:p>
    <w:p>
      <w:pPr>
        <w:spacing w:after="100"/>
      </w:pPr>
      <w:r>
        <w:t xml:space="preserve">【逻辑】上涨天数比例减去下跌天数比例，范围[-1,1]。</w:t>
      </w:r>
    </w:p>
    <w:p>
      <w:pPr>
        <w:spacing w:after="100"/>
      </w:pPr>
      <w:r>
        <w:t xml:space="preserve">【适用】综合衡量多空力量对比，正值表示多头占优。</w:t>
      </w:r>
    </w:p>
    <w:p>
      <w:pPr>
        <w:spacing w:after="200"/>
      </w:pPr>
      <w:r>
        <w:t xml:space="preserve">【成立原因】综合反映市场方向性，正值越大趋势越明确。</w:t>
      </w:r>
    </w:p>
    <w:p>
      <w:pPr>
        <w:pStyle w:val="Heading3"/>
      </w:pPr>
      <w:r>
        <w:t xml:space="preserve">6.6 上涨收益占比 (SUMP)</w:t>
      </w:r>
    </w:p>
    <w:p>
      <w:pPr>
        <w:spacing w:after="100"/>
      </w:pPr>
      <w:r>
        <w:t xml:space="preserve">公式：SUMPd = Sum(Greater($close-Ref($close,1),0),d) / (Sum(Abs($close-Ref($close,1)),d)+1e-12)</w:t>
      </w:r>
    </w:p>
    <w:p>
      <w:pPr>
        <w:spacing w:after="100"/>
      </w:pPr>
      <w:r>
        <w:t xml:space="preserve">【逻辑】d 日内上涨幅度占总波动幅度的比例，类似RSI的变体。</w:t>
      </w:r>
    </w:p>
    <w:p>
      <w:pPr>
        <w:spacing w:after="100"/>
      </w:pPr>
      <w:r>
        <w:t xml:space="preserve">【适用】衡量上涨动能强度，值高表示上涨动能强。</w:t>
      </w:r>
    </w:p>
    <w:p>
      <w:pPr>
        <w:spacing w:after="200"/>
      </w:pPr>
      <w:r>
        <w:t xml:space="preserve">【成立原因】上涨幅度占比反映多头力量，是RSI指标的核心思想。</w:t>
      </w:r>
    </w:p>
    <w:p>
      <w:pPr>
        <w:pStyle w:val="Heading3"/>
      </w:pPr>
      <w:r>
        <w:t xml:space="preserve">6.7 下跌损失占比 (SUMN)</w:t>
      </w:r>
    </w:p>
    <w:p>
      <w:pPr>
        <w:spacing w:after="100"/>
      </w:pPr>
      <w:r>
        <w:t xml:space="preserve">公式：SUMNd = Sum(Greater(Ref($close,1)-$close,0),d) / (Sum(Abs($close-Ref($close,1)),d)+1e-12)</w:t>
      </w:r>
    </w:p>
    <w:p>
      <w:pPr>
        <w:spacing w:after="100"/>
      </w:pPr>
      <w:r>
        <w:t xml:space="preserve">【逻辑】d 日内下跌幅度占总波动幅度的比例。</w:t>
      </w:r>
    </w:p>
    <w:p>
      <w:pPr>
        <w:spacing w:after="100"/>
      </w:pPr>
      <w:r>
        <w:t xml:space="preserve">【适用】衡量下跌动能强度，值高表示下跌动能强。</w:t>
      </w:r>
    </w:p>
    <w:p>
      <w:pPr>
        <w:spacing w:after="200"/>
      </w:pPr>
      <w:r>
        <w:t xml:space="preserve">【成立原因】下跌幅度占比反映空头力量，与SUMP互补。</w:t>
      </w:r>
    </w:p>
    <w:p>
      <w:pPr>
        <w:pStyle w:val="Heading3"/>
      </w:pPr>
      <w:r>
        <w:t xml:space="preserve">6.8 涨跌能量差 (SUMD)</w:t>
      </w:r>
    </w:p>
    <w:p>
      <w:pPr>
        <w:spacing w:after="100"/>
      </w:pPr>
      <w:r>
        <w:t xml:space="preserve">公式：SUMDd = SUMPd - SUMNd，其中 d ∈ {5, 10, 20, 30, 60}</w:t>
      </w:r>
    </w:p>
    <w:p>
      <w:pPr>
        <w:spacing w:after="100"/>
      </w:pPr>
      <w:r>
        <w:t xml:space="preserve">【逻辑】上涨收益占比减去下跌损失占比，范围[-1,1]。</w:t>
      </w:r>
    </w:p>
    <w:p>
      <w:pPr>
        <w:spacing w:after="100"/>
      </w:pPr>
      <w:r>
        <w:t xml:space="preserve">【适用】综合衡量多空能量对比，类似RSI的归一化处理。</w:t>
      </w:r>
    </w:p>
    <w:p>
      <w:pPr>
        <w:spacing w:after="200"/>
      </w:pPr>
      <w:r>
        <w:t xml:space="preserve">【成立原因】综合反映价格变动的方向性，是动量指标的核心。</w:t>
      </w:r>
    </w:p>
    <w:p>
      <w:pPr>
        <w:pStyle w:val="Heading3"/>
      </w:pPr>
      <w:r>
        <w:t xml:space="preserve">6.9 当前价格排名 (RANK)</w:t>
      </w:r>
    </w:p>
    <w:p>
      <w:pPr>
        <w:spacing w:after="100"/>
      </w:pPr>
      <w:r>
        <w:t xml:space="preserve">公式：RANKd = Rank($close, d)，其中 d ∈ {5, 10, 20, 30, 60}</w:t>
      </w:r>
    </w:p>
    <w:p>
      <w:pPr>
        <w:spacing w:after="100"/>
      </w:pPr>
      <w:r>
        <w:t xml:space="preserve">【逻辑】当前收盘价在 d 日内的排名百分位，范围[0,1]。</w:t>
      </w:r>
    </w:p>
    <w:p>
      <w:pPr>
        <w:spacing w:after="100"/>
      </w:pPr>
      <w:r>
        <w:t xml:space="preserve">【适用】识别价格在近期区间的相对位置，1表示创d日新高。</w:t>
      </w:r>
    </w:p>
    <w:p>
      <w:pPr>
        <w:spacing w:after="200"/>
      </w:pPr>
      <w:r>
        <w:t xml:space="preserve">【成立原因】价格在历史区间的极端位置往往预示反转，创新高/低有特殊技术意义。</w:t>
      </w:r>
    </w:p>
    <w:p>
      <w:pPr>
        <w:pStyle w:val="Heading2"/>
      </w:pPr>
      <w:r>
        <w:t xml:space="preserve">七、成交量因子 (30个)</w:t>
      </w:r>
    </w:p>
    <w:p>
      <w:pPr>
        <w:spacing w:after="200"/>
      </w:pPr>
      <w:r>
        <w:t xml:space="preserve">成交量因子分析成交量的变化特征，成交量是价格变动的确认指标，反映市场参与度和资金流向。</w:t>
      </w:r>
    </w:p>
    <w:p>
      <w:pPr>
        <w:pStyle w:val="Heading3"/>
      </w:pPr>
      <w:r>
        <w:t xml:space="preserve">7.1 成交量均线 (VMA)</w:t>
      </w:r>
    </w:p>
    <w:p>
      <w:pPr>
        <w:spacing w:after="100"/>
      </w:pPr>
      <w:r>
        <w:t xml:space="preserve">公式：VMAd = Mean($volume, d)/$volume，其中 d ∈ {5, 10, 20, 30, 60}</w:t>
      </w:r>
    </w:p>
    <w:p>
      <w:pPr>
        <w:spacing w:after="100"/>
      </w:pPr>
      <w:r>
        <w:t xml:space="preserve">【逻辑】d 日成交量均值相对当前成交量的比例。值&gt;1表示当前缩量，&lt;1表示放量。</w:t>
      </w:r>
    </w:p>
    <w:p>
      <w:pPr>
        <w:spacing w:after="100"/>
      </w:pPr>
      <w:r>
        <w:t xml:space="preserve">【适用】识别放量/缩量状态，放量突破更可靠。</w:t>
      </w:r>
    </w:p>
    <w:p>
      <w:pPr>
        <w:spacing w:after="200"/>
      </w:pPr>
      <w:r>
        <w:t xml:space="preserve">【成立原因】成交量放大表示市场关注度高，价格变动更可信；缩量表示观望情绪。</w:t>
      </w:r>
    </w:p>
    <w:p>
      <w:pPr>
        <w:pStyle w:val="Heading3"/>
      </w:pPr>
      <w:r>
        <w:t xml:space="preserve">7.2 成交量标准差 (VSTD)</w:t>
      </w:r>
    </w:p>
    <w:p>
      <w:pPr>
        <w:spacing w:after="100"/>
      </w:pPr>
      <w:r>
        <w:t xml:space="preserve">公式：VSTDd = Std($volume, d)/$volume，其中 d ∈ {5, 10, 20, 30, 60}</w:t>
      </w:r>
    </w:p>
    <w:p>
      <w:pPr>
        <w:spacing w:after="100"/>
      </w:pPr>
      <w:r>
        <w:t xml:space="preserve">【逻辑】d 日成交量标准差相对当前成交量的比例，反映成交量波动率。</w:t>
      </w:r>
    </w:p>
    <w:p>
      <w:pPr>
        <w:spacing w:after="100"/>
      </w:pPr>
      <w:r>
        <w:t xml:space="preserve">【适用】识别成交量异动，高波动可能预示重要变化。</w:t>
      </w:r>
    </w:p>
    <w:p>
      <w:pPr>
        <w:spacing w:after="200"/>
      </w:pPr>
      <w:r>
        <w:t xml:space="preserve">【成立原因】成交量波动反映市场情绪变化，异常波动往往伴随价格转折。</w:t>
      </w:r>
    </w:p>
    <w:p>
      <w:pPr>
        <w:pStyle w:val="Heading3"/>
      </w:pPr>
      <w:r>
        <w:t xml:space="preserve">7.3 成交量变化率 (VROC)</w:t>
      </w:r>
    </w:p>
    <w:p>
      <w:pPr>
        <w:spacing w:after="100"/>
      </w:pPr>
      <w:r>
        <w:t xml:space="preserve">公式：VROCd = Ref($volume, d)/$volume，其中 d ∈ {5, 10, 20, 30, 60}</w:t>
      </w:r>
    </w:p>
    <w:p>
      <w:pPr>
        <w:spacing w:after="100"/>
      </w:pPr>
      <w:r>
        <w:t xml:space="preserve">【逻辑】d 日前成交量与当前成交量的比值。值&gt;1表示缩量，&lt;1表示放量。</w:t>
      </w:r>
    </w:p>
    <w:p>
      <w:pPr>
        <w:spacing w:after="100"/>
      </w:pPr>
      <w:r>
        <w:t xml:space="preserve">【适用】衡量成交量变化趋势，与价格ROC配合使用。</w:t>
      </w:r>
    </w:p>
    <w:p>
      <w:pPr>
        <w:spacing w:after="200"/>
      </w:pPr>
      <w:r>
        <w:t xml:space="preserve">【成立原因】成交量变化领先或同步于价格变化，可确认趋势强度。</w:t>
      </w:r>
    </w:p>
    <w:p>
      <w:pPr>
        <w:pStyle w:val="Heading3"/>
      </w:pPr>
      <w:r>
        <w:t xml:space="preserve">7.4 成交量上分位数 (VQTLU)</w:t>
      </w:r>
    </w:p>
    <w:p>
      <w:pPr>
        <w:spacing w:after="100"/>
      </w:pPr>
      <w:r>
        <w:t xml:space="preserve">公式：VQTLUd = Quantile($volume, d, 0.8)/$volume，其中 d ∈ {5, 10, 20, 30, 60}</w:t>
      </w:r>
    </w:p>
    <w:p>
      <w:pPr>
        <w:spacing w:after="100"/>
      </w:pPr>
      <w:r>
        <w:t xml:space="preserve">【逻辑】d 日成交量 80% 分位数相对当前成交量的位置。</w:t>
      </w:r>
    </w:p>
    <w:p>
      <w:pPr>
        <w:spacing w:after="100"/>
      </w:pPr>
      <w:r>
        <w:t xml:space="preserve">【适用】识别成交量是否处于历史高位。</w:t>
      </w:r>
    </w:p>
    <w:p>
      <w:pPr>
        <w:spacing w:after="200"/>
      </w:pPr>
      <w:r>
        <w:t xml:space="preserve">【成立原因】成交量处于极端高位时，可能预示顶部或底部。</w:t>
      </w:r>
    </w:p>
    <w:p>
      <w:pPr>
        <w:pStyle w:val="Heading3"/>
      </w:pPr>
      <w:r>
        <w:t xml:space="preserve">7.5 成交量下分位数 (VQTLD)</w:t>
      </w:r>
    </w:p>
    <w:p>
      <w:pPr>
        <w:spacing w:after="100"/>
      </w:pPr>
      <w:r>
        <w:t xml:space="preserve">公式：VQTLDd = Quantile($volume, d, 0.2)/$volume，其中 d ∈ {5, 10, 20, 30, 60}</w:t>
      </w:r>
    </w:p>
    <w:p>
      <w:pPr>
        <w:spacing w:after="100"/>
      </w:pPr>
      <w:r>
        <w:t xml:space="preserve">【逻辑】d 日成交量 20% 分位数相对当前成交量的位置。</w:t>
      </w:r>
    </w:p>
    <w:p>
      <w:pPr>
        <w:spacing w:after="100"/>
      </w:pPr>
      <w:r>
        <w:t xml:space="preserve">【适用】识别成交量是否处于历史低位（地量）。</w:t>
      </w:r>
    </w:p>
    <w:p>
      <w:pPr>
        <w:spacing w:after="200"/>
      </w:pPr>
      <w:r>
        <w:t xml:space="preserve">【成立原因】地量往往预示变盘，所谓"地量见地价"。</w:t>
      </w:r>
    </w:p>
    <w:p>
      <w:pPr>
        <w:pStyle w:val="Heading3"/>
      </w:pPr>
      <w:r>
        <w:t xml:space="preserve">7.6 加权成交量均线 (WVMA)</w:t>
      </w:r>
    </w:p>
    <w:p>
      <w:pPr>
        <w:spacing w:after="100"/>
      </w:pPr>
      <w:r>
        <w:t xml:space="preserve">公式：WVMAd = Mean($volume*$close, d)/($volume*$close)，其中 d ∈ {5, 10, 20, 30, 60}</w:t>
      </w:r>
    </w:p>
    <w:p>
      <w:pPr>
        <w:spacing w:after="100"/>
      </w:pPr>
      <w:r>
        <w:t xml:space="preserve">【逻辑】以成交额（成交量×收盘价）计算的移动平均，大价格成交权重更高。</w:t>
      </w:r>
    </w:p>
    <w:p>
      <w:pPr>
        <w:spacing w:after="100"/>
      </w:pPr>
      <w:r>
        <w:t xml:space="preserve">【适用】更关注大额成交的影响，反映大资金动向。</w:t>
      </w:r>
    </w:p>
    <w:p>
      <w:pPr>
        <w:spacing w:after="200"/>
      </w:pPr>
      <w:r>
        <w:t xml:space="preserve">【成立原因】大资金成交对价格影响更大，加权后更能反映机构行为。</w:t>
      </w:r>
    </w:p>
    <w:p>
      <w:pPr>
        <w:pStyle w:val="Heading2"/>
      </w:pPr>
      <w:r>
        <w:t xml:space="preserve">因子应用总结</w:t>
      </w:r>
    </w:p>
    <w:p>
      <w:pPr>
        <w:pStyle w:val="Heading3"/>
      </w:pPr>
      <w:r>
        <w:t xml:space="preserve">适用场景</w:t>
      </w:r>
    </w:p>
    <w:p>
      <w:pPr>
        <w:spacing w:after="80"/>
      </w:pPr>
      <w:r>
        <w:t xml:space="preserve">1. 趋势跟踪策略：使用 ROC、BETA、IMAX/IMIN 等因子识别趋势方向和强度。</w:t>
      </w:r>
    </w:p>
    <w:p>
      <w:pPr>
        <w:spacing w:after="80"/>
      </w:pPr>
      <w:r>
        <w:t xml:space="preserve">2. 均值回归策略：使用 MA、RESI、RSV、QTLU/QTLD 等因子识别超买超卖。</w:t>
      </w:r>
    </w:p>
    <w:p>
      <w:pPr>
        <w:spacing w:after="80"/>
      </w:pPr>
      <w:r>
        <w:t xml:space="preserve">3. 波动率策略：使用 STD、VSTD 等因子预测波动率变化，进行期权定价或仓位管理。</w:t>
      </w:r>
    </w:p>
    <w:p>
      <w:pPr>
        <w:spacing w:after="200"/>
      </w:pPr>
      <w:r>
        <w:t xml:space="preserve">4. 量价分析策略：使用 CORR、CORD、VMA 等因子确认价格信号的有效性。</w:t>
      </w:r>
    </w:p>
    <w:p>
      <w:pPr>
        <w:pStyle w:val="Heading3"/>
      </w:pPr>
      <w:r>
        <w:t xml:space="preserve">因子有效性原理</w:t>
      </w:r>
    </w:p>
    <w:p>
      <w:pPr>
        <w:spacing w:after="80"/>
      </w:pPr>
      <w:r>
        <w:t xml:space="preserve">1. 行为金融学基础：投资者存在认知偏差（过度反应、锚定效应等），导致价格偏离内在价值，技术分析因子可捕捉这些偏差。</w:t>
      </w:r>
    </w:p>
    <w:p>
      <w:pPr>
        <w:spacing w:after="80"/>
      </w:pPr>
      <w:r>
        <w:t xml:space="preserve">2. 市场微观结构：订单流、流动性、信息不对称等因素导致价格和成交量的规律性变化。</w:t>
      </w:r>
    </w:p>
    <w:p>
      <w:pPr>
        <w:spacing w:after="80"/>
      </w:pPr>
      <w:r>
        <w:t xml:space="preserve">3. 动量与反转效应：价格存在短期动量和长期反转的特征，不同周期因子可分别捕捉。</w:t>
      </w:r>
    </w:p>
    <w:p>
      <w:pPr>
        <w:spacing w:after="200"/>
      </w:pPr>
      <w:r>
        <w:t xml:space="preserve">4. 资金流向：成交量反映资金进出，价格与成交量的关系揭示资金推动或撤退的信号。</w:t>
      </w:r>
    </w:p>
    <w:p>
      <w:pPr>
        <w:pStyle w:val="Heading3"/>
      </w:pPr>
      <w:r>
        <w:t xml:space="preserve">注意事项</w:t>
      </w:r>
    </w:p>
    <w:p>
      <w:pPr>
        <w:spacing w:after="80"/>
      </w:pPr>
      <w:r>
        <w:t xml:space="preserve">1. 因子时效性：市场环境变化可能导致因子失效，需要定期检验和更新。</w:t>
      </w:r>
    </w:p>
    <w:p>
      <w:pPr>
        <w:spacing w:after="80"/>
      </w:pPr>
      <w:r>
        <w:t xml:space="preserve">2. 多重共线性：许多因子之间存在相关性，建模时需要进行特征选择或降维处理。</w:t>
      </w:r>
    </w:p>
    <w:p>
      <w:pPr>
        <w:spacing w:after="80"/>
      </w:pPr>
      <w:r>
        <w:t xml:space="preserve">3. 过拟合风险：因子数量多（158个），样本量相对有限时容易过拟合，需要交叉验证。</w:t>
      </w:r>
    </w:p>
    <w:p>
      <w:pPr>
        <w:spacing w:after="200"/>
      </w:pPr>
      <w:r>
        <w:t xml:space="preserve">4. 交易成本：高频信号可能因交易成本而失效，需要结合成本模型评估实际收益。</w:t>
      </w:r>
    </w:p>
    <w:p>
      <w:pPr>
        <w:spacing w:after="200" w:before="400"/>
        <w:jc w:val="center"/>
      </w:pPr>
      <w:r>
        <w:rPr>
          <w:color w:val="999999"/>
        </w:rPr>
        <w:t xml:space="preserve">---</w:t>
      </w:r>
    </w:p>
    <w:p>
      <w:pPr>
        <w:jc w:val="center"/>
      </w:pPr>
      <w:r>
        <w:rPr>
          <w:color w:val="666666"/>
          <w:sz w:val="18"/>
          <w:szCs w:val="18"/>
        </w:rPr>
        <w:t xml:space="preserve">文档生成时间：2026年5月 | 数据来源：Microsoft Qlib 官方文档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432"/>
      </w:pPr>
    </w:lvl>
    <w:lvl w:ilvl="1" w15:tentative="1">
      <w:start w:val="1"/>
      <w:numFmt w:val="decimal"/>
      <w:lvlText w:val="%1.%2"/>
      <w:lvlJc w:val="left"/>
      <w:pPr>
        <w:ind w:left="432" w:hanging="432"/>
      </w:pPr>
    </w:lvl>
    <w:lvl w:ilvl="2" w15:tentative="1">
      <w:start w:val="1"/>
      <w:numFmt w:val="decimal"/>
      <w:lvlText w:val="%1.%2.%3"/>
      <w:lvlJc w:val="left"/>
      <w:pPr>
        <w:ind w:left="864" w:hanging="4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2026-05-21T10:33:16.932Z</dcterms:created>
  <dcterms:modified xsi:type="dcterms:W3CDTF">2026-05-21T10:33:16.932Z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