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FAAF05">
      <w:pPr>
        <w:keepNext w:val="0"/>
        <w:keepLines w:val="0"/>
        <w:widowControl/>
        <w:suppressLineNumbers w:val="0"/>
        <w:jc w:val="left"/>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 xml:space="preserve"> </w:t>
      </w:r>
      <w:bookmarkStart w:id="0" w:name="_GoBack"/>
      <w:bookmarkEnd w:id="0"/>
      <w:r>
        <w:rPr>
          <w:rFonts w:hint="eastAsia" w:ascii="华文楷体" w:hAnsi="华文楷体" w:eastAsia="华文楷体" w:cs="华文楷体"/>
          <w:b/>
          <w:bCs/>
          <w:lang w:val="en-US" w:eastAsia="zh-CN"/>
        </w:rPr>
        <w:t>茶具的识别与排序</w:t>
      </w:r>
    </w:p>
    <w:p w14:paraId="43250BBC">
      <w:pPr>
        <w:keepNext w:val="0"/>
        <w:keepLines w:val="0"/>
        <w:widowControl/>
        <w:suppressLineNumbers w:val="0"/>
        <w:jc w:val="left"/>
        <w:rPr>
          <w:rFonts w:hint="eastAsia" w:ascii="华文楷体" w:hAnsi="华文楷体" w:eastAsia="华文楷体" w:cs="华文楷体"/>
        </w:rPr>
      </w:pPr>
      <w:r>
        <w:rPr>
          <w:rFonts w:hint="eastAsia" w:ascii="华文楷体" w:hAnsi="华文楷体" w:eastAsia="华文楷体" w:cs="华文楷体"/>
          <w:sz w:val="24"/>
          <w:szCs w:val="24"/>
        </w:rPr>
        <w:drawing>
          <wp:inline distT="0" distB="0" distL="114300" distR="114300">
            <wp:extent cx="2251710" cy="1791335"/>
            <wp:effectExtent l="0" t="0" r="381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51710" cy="1791335"/>
                    </a:xfrm>
                    <a:prstGeom prst="rect">
                      <a:avLst/>
                    </a:prstGeom>
                    <a:noFill/>
                    <a:ln w="9525">
                      <a:noFill/>
                    </a:ln>
                  </pic:spPr>
                </pic:pic>
              </a:graphicData>
            </a:graphic>
          </wp:inline>
        </w:drawing>
      </w:r>
      <w:r>
        <w:rPr>
          <w:rFonts w:hint="eastAsia" w:ascii="华文楷体" w:hAnsi="华文楷体" w:eastAsia="华文楷体" w:cs="华文楷体"/>
          <w:sz w:val="24"/>
          <w:szCs w:val="24"/>
          <w:lang w:val="en-US" w:eastAsia="zh-CN"/>
        </w:rPr>
        <w:t xml:space="preserve">          </w:t>
      </w:r>
      <w:r>
        <w:rPr>
          <w:rFonts w:hint="eastAsia" w:ascii="华文楷体" w:hAnsi="华文楷体" w:eastAsia="华文楷体" w:cs="华文楷体"/>
          <w:lang w:val="en-US" w:eastAsia="zh-CN"/>
        </w:rPr>
        <w:drawing>
          <wp:inline distT="0" distB="0" distL="114300" distR="114300">
            <wp:extent cx="2233295" cy="1805940"/>
            <wp:effectExtent l="0" t="0" r="6985" b="7620"/>
            <wp:docPr id="2" name="图片 2" descr="生成动画陶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生成动画陶窑"/>
                    <pic:cNvPicPr>
                      <a:picLocks noChangeAspect="1"/>
                    </pic:cNvPicPr>
                  </pic:nvPicPr>
                  <pic:blipFill>
                    <a:blip r:embed="rId5"/>
                    <a:stretch>
                      <a:fillRect/>
                    </a:stretch>
                  </pic:blipFill>
                  <pic:spPr>
                    <a:xfrm>
                      <a:off x="0" y="0"/>
                      <a:ext cx="2233295" cy="1805940"/>
                    </a:xfrm>
                    <a:prstGeom prst="rect">
                      <a:avLst/>
                    </a:prstGeom>
                  </pic:spPr>
                </pic:pic>
              </a:graphicData>
            </a:graphic>
          </wp:inline>
        </w:drawing>
      </w:r>
    </w:p>
    <w:p w14:paraId="3140B056">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汉代陶窑</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依托AI生成的动画风陶窑</w:t>
      </w:r>
    </w:p>
    <w:p w14:paraId="2EEF0E3A">
      <w:pPr>
        <w:rPr>
          <w:rFonts w:hint="eastAsia" w:ascii="华文楷体" w:hAnsi="华文楷体" w:eastAsia="华文楷体" w:cs="华文楷体"/>
          <w:lang w:val="en-US" w:eastAsia="zh-CN"/>
        </w:rPr>
      </w:pPr>
    </w:p>
    <w:p w14:paraId="2A7B74CD">
      <w:pPr>
        <w:rPr>
          <w:rFonts w:hint="eastAsia" w:ascii="华文楷体" w:hAnsi="华文楷体" w:eastAsia="华文楷体" w:cs="华文楷体"/>
          <w:lang w:val="en-US" w:eastAsia="zh-CN"/>
        </w:rPr>
      </w:pPr>
    </w:p>
    <w:p w14:paraId="1FF9EAC4">
      <w:pPr>
        <w:keepNext w:val="0"/>
        <w:keepLines w:val="0"/>
        <w:widowControl/>
        <w:suppressLineNumbers w:val="0"/>
        <w:jc w:val="left"/>
        <w:rPr>
          <w:rFonts w:hint="eastAsia" w:ascii="华文楷体" w:hAnsi="华文楷体" w:eastAsia="华文楷体" w:cs="华文楷体"/>
          <w:lang w:eastAsia="zh-CN"/>
        </w:rPr>
      </w:pPr>
      <w:r>
        <w:rPr>
          <w:rFonts w:hint="eastAsia" w:ascii="华文楷体" w:hAnsi="华文楷体" w:eastAsia="华文楷体" w:cs="华文楷体"/>
          <w:lang w:eastAsia="zh-CN"/>
        </w:rPr>
        <w:drawing>
          <wp:inline distT="0" distB="0" distL="114300" distR="114300">
            <wp:extent cx="2277110" cy="2085340"/>
            <wp:effectExtent l="0" t="0" r="8890" b="2540"/>
            <wp:docPr id="4" name="图片 4" descr="土陶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土陶碗"/>
                    <pic:cNvPicPr>
                      <a:picLocks noChangeAspect="1"/>
                    </pic:cNvPicPr>
                  </pic:nvPicPr>
                  <pic:blipFill>
                    <a:blip r:embed="rId6"/>
                    <a:stretch>
                      <a:fillRect/>
                    </a:stretch>
                  </pic:blipFill>
                  <pic:spPr>
                    <a:xfrm>
                      <a:off x="0" y="0"/>
                      <a:ext cx="2277110" cy="2085340"/>
                    </a:xfrm>
                    <a:prstGeom prst="rect">
                      <a:avLst/>
                    </a:prstGeom>
                  </pic:spPr>
                </pic:pic>
              </a:graphicData>
            </a:graphic>
          </wp:inline>
        </w:drawing>
      </w:r>
      <w:r>
        <w:rPr>
          <w:rFonts w:hint="eastAsia" w:ascii="华文楷体" w:hAnsi="华文楷体" w:eastAsia="华文楷体" w:cs="华文楷体"/>
          <w:lang w:val="en-US" w:eastAsia="zh-CN"/>
        </w:rPr>
        <w:t xml:space="preserve">         </w:t>
      </w:r>
      <w:r>
        <w:rPr>
          <w:rFonts w:hint="eastAsia" w:ascii="华文楷体" w:hAnsi="华文楷体" w:eastAsia="华文楷体" w:cs="华文楷体"/>
          <w:lang w:eastAsia="zh-CN"/>
        </w:rPr>
        <w:drawing>
          <wp:inline distT="0" distB="0" distL="114300" distR="114300">
            <wp:extent cx="2265045" cy="2065655"/>
            <wp:effectExtent l="0" t="0" r="5715" b="6985"/>
            <wp:docPr id="5" name="图片 5" descr="生成动画陶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生成动画陶窑 (1)"/>
                    <pic:cNvPicPr>
                      <a:picLocks noChangeAspect="1"/>
                    </pic:cNvPicPr>
                  </pic:nvPicPr>
                  <pic:blipFill>
                    <a:blip r:embed="rId7"/>
                    <a:stretch>
                      <a:fillRect/>
                    </a:stretch>
                  </pic:blipFill>
                  <pic:spPr>
                    <a:xfrm>
                      <a:off x="0" y="0"/>
                      <a:ext cx="2265045" cy="2065655"/>
                    </a:xfrm>
                    <a:prstGeom prst="rect">
                      <a:avLst/>
                    </a:prstGeom>
                  </pic:spPr>
                </pic:pic>
              </a:graphicData>
            </a:graphic>
          </wp:inline>
        </w:drawing>
      </w:r>
    </w:p>
    <w:p w14:paraId="21D7BEF3">
      <w:pPr>
        <w:rPr>
          <w:rFonts w:hint="eastAsia" w:ascii="华文楷体" w:hAnsi="华文楷体" w:eastAsia="华文楷体" w:cs="华文楷体"/>
          <w:lang w:val="en-US" w:eastAsia="zh-CN"/>
        </w:rPr>
      </w:pPr>
    </w:p>
    <w:p w14:paraId="2148DA7D">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土陶碗</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
      </w:r>
      <w:r>
        <w:rPr>
          <w:rFonts w:hint="eastAsia" w:ascii="华文楷体" w:hAnsi="华文楷体" w:eastAsia="华文楷体" w:cs="华文楷体"/>
          <w:lang w:val="en-US" w:eastAsia="zh-CN"/>
        </w:rPr>
        <w:tab/>
        <w:t>依托AI生成的动画风土陶碗</w:t>
      </w:r>
    </w:p>
    <w:p w14:paraId="255E4B0F">
      <w:pPr>
        <w:rPr>
          <w:rFonts w:hint="eastAsia" w:ascii="华文楷体" w:hAnsi="华文楷体" w:eastAsia="华文楷体" w:cs="华文楷体"/>
          <w:sz w:val="28"/>
          <w:szCs w:val="28"/>
          <w:lang w:val="en-US" w:eastAsia="zh-CN"/>
        </w:rPr>
      </w:pPr>
      <w:r>
        <w:rPr>
          <w:rFonts w:hint="eastAsia" w:ascii="华文楷体" w:hAnsi="华文楷体" w:eastAsia="华文楷体" w:cs="华文楷体"/>
          <w:lang w:val="en-US" w:eastAsia="zh-CN"/>
        </w:rPr>
        <w:t>汉晋时期的饮茶方式较为简单，</w:t>
      </w:r>
      <w:r>
        <w:rPr>
          <w:rFonts w:hint="eastAsia" w:ascii="华文楷体" w:hAnsi="华文楷体" w:eastAsia="华文楷体" w:cs="华文楷体"/>
          <w:i w:val="0"/>
          <w:iCs w:val="0"/>
          <w:caps w:val="0"/>
          <w:color w:val="05073B"/>
          <w:spacing w:val="0"/>
          <w:sz w:val="28"/>
          <w:szCs w:val="28"/>
          <w:shd w:val="clear" w:fill="FDFDFE"/>
        </w:rPr>
        <w:t>主要以</w:t>
      </w:r>
      <w:r>
        <w:rPr>
          <w:rStyle w:val="5"/>
          <w:rFonts w:hint="eastAsia" w:ascii="华文楷体" w:hAnsi="华文楷体" w:eastAsia="华文楷体" w:cs="华文楷体"/>
          <w:b/>
          <w:bCs/>
          <w:i w:val="0"/>
          <w:iCs w:val="0"/>
          <w:caps w:val="0"/>
          <w:color w:val="05073B"/>
          <w:spacing w:val="0"/>
          <w:sz w:val="28"/>
          <w:szCs w:val="28"/>
          <w:bdr w:val="none" w:color="auto" w:sz="0" w:space="0"/>
          <w:shd w:val="clear" w:fill="FDFDFE"/>
        </w:rPr>
        <w:t>煮茶法</w:t>
      </w:r>
      <w:r>
        <w:rPr>
          <w:rFonts w:hint="eastAsia" w:ascii="华文楷体" w:hAnsi="华文楷体" w:eastAsia="华文楷体" w:cs="华文楷体"/>
          <w:i w:val="0"/>
          <w:iCs w:val="0"/>
          <w:caps w:val="0"/>
          <w:color w:val="05073B"/>
          <w:spacing w:val="0"/>
          <w:sz w:val="28"/>
          <w:szCs w:val="28"/>
          <w:shd w:val="clear" w:fill="FDFDFE"/>
        </w:rPr>
        <w:t>为主</w:t>
      </w:r>
    </w:p>
    <w:p w14:paraId="1BE3E030">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360" w:leftChars="0" w:right="0" w:rightChars="0"/>
        <w:rPr>
          <w:rFonts w:hint="eastAsia" w:ascii="华文楷体" w:hAnsi="华文楷体" w:eastAsia="华文楷体" w:cs="华文楷体"/>
          <w:i w:val="0"/>
          <w:iCs w:val="0"/>
          <w:caps w:val="0"/>
          <w:color w:val="05073B"/>
          <w:spacing w:val="0"/>
          <w:sz w:val="28"/>
          <w:szCs w:val="28"/>
          <w:bdr w:val="none" w:color="auto" w:sz="0" w:space="0"/>
          <w:shd w:val="clear" w:fill="FDFDFE"/>
        </w:rPr>
      </w:pPr>
      <w:r>
        <w:rPr>
          <w:rStyle w:val="5"/>
          <w:rFonts w:hint="eastAsia" w:ascii="华文楷体" w:hAnsi="华文楷体" w:eastAsia="华文楷体" w:cs="华文楷体"/>
          <w:b/>
          <w:bCs/>
          <w:i w:val="0"/>
          <w:iCs w:val="0"/>
          <w:caps w:val="0"/>
          <w:color w:val="05073B"/>
          <w:spacing w:val="0"/>
          <w:sz w:val="28"/>
          <w:szCs w:val="28"/>
          <w:bdr w:val="none" w:color="auto" w:sz="0" w:space="0"/>
          <w:shd w:val="clear" w:fill="FDFDFE"/>
        </w:rPr>
        <w:t>过程</w:t>
      </w:r>
      <w:r>
        <w:rPr>
          <w:rFonts w:hint="eastAsia" w:ascii="华文楷体" w:hAnsi="华文楷体" w:eastAsia="华文楷体" w:cs="华文楷体"/>
          <w:i w:val="0"/>
          <w:iCs w:val="0"/>
          <w:caps w:val="0"/>
          <w:color w:val="05073B"/>
          <w:spacing w:val="0"/>
          <w:sz w:val="28"/>
          <w:szCs w:val="28"/>
          <w:bdr w:val="none" w:color="auto" w:sz="0" w:space="0"/>
          <w:shd w:val="clear" w:fill="FDFDFE"/>
        </w:rPr>
        <w:t>：</w:t>
      </w:r>
    </w:p>
    <w:p w14:paraId="79BA69F3">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360" w:leftChars="0" w:right="0" w:rightChars="0" w:firstLine="770" w:firstLineChars="275"/>
        <w:rPr>
          <w:rFonts w:hint="eastAsia" w:ascii="华文楷体" w:hAnsi="华文楷体" w:eastAsia="华文楷体" w:cs="华文楷体"/>
          <w:sz w:val="28"/>
          <w:szCs w:val="28"/>
        </w:rPr>
      </w:pPr>
      <w:r>
        <w:rPr>
          <w:rFonts w:hint="eastAsia" w:ascii="华文楷体" w:hAnsi="华文楷体" w:eastAsia="华文楷体" w:cs="华文楷体"/>
          <w:i w:val="0"/>
          <w:iCs w:val="0"/>
          <w:caps w:val="0"/>
          <w:color w:val="05073B"/>
          <w:spacing w:val="0"/>
          <w:sz w:val="28"/>
          <w:szCs w:val="28"/>
          <w:bdr w:val="none" w:color="auto" w:sz="0" w:space="0"/>
          <w:shd w:val="clear" w:fill="FDFDFE"/>
        </w:rPr>
        <w:t>将茶叶直接放入锅中，加入适量的水，然后煮沸。有时，人们还会在茶中加入葱、姜、枣、橘皮、茱萸、薄荷等物一同滚煮，以增加茶的口感和风味。煮好的茶会呈现出浓厚的羹汤状，然后用碗等容器盛出饮用。</w:t>
      </w:r>
    </w:p>
    <w:p w14:paraId="0E39AC38">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0" w:lineRule="atLeast"/>
        <w:ind w:left="-360" w:leftChars="0" w:right="0" w:rightChars="0"/>
        <w:rPr>
          <w:rFonts w:hint="eastAsia" w:ascii="华文楷体" w:hAnsi="华文楷体" w:eastAsia="华文楷体" w:cs="华文楷体"/>
          <w:i w:val="0"/>
          <w:iCs w:val="0"/>
          <w:caps w:val="0"/>
          <w:color w:val="05073B"/>
          <w:spacing w:val="0"/>
          <w:sz w:val="28"/>
          <w:szCs w:val="28"/>
          <w:bdr w:val="none" w:color="auto" w:sz="0" w:space="0"/>
          <w:shd w:val="clear" w:fill="FDFDFE"/>
        </w:rPr>
      </w:pPr>
      <w:r>
        <w:rPr>
          <w:rStyle w:val="5"/>
          <w:rFonts w:hint="eastAsia" w:ascii="华文楷体" w:hAnsi="华文楷体" w:eastAsia="华文楷体" w:cs="华文楷体"/>
          <w:b/>
          <w:bCs/>
          <w:i w:val="0"/>
          <w:iCs w:val="0"/>
          <w:caps w:val="0"/>
          <w:color w:val="05073B"/>
          <w:spacing w:val="0"/>
          <w:sz w:val="28"/>
          <w:szCs w:val="28"/>
          <w:bdr w:val="none" w:color="auto" w:sz="0" w:space="0"/>
          <w:shd w:val="clear" w:fill="FDFDFE"/>
        </w:rPr>
        <w:t>特点</w:t>
      </w:r>
      <w:r>
        <w:rPr>
          <w:rFonts w:hint="eastAsia" w:ascii="华文楷体" w:hAnsi="华文楷体" w:eastAsia="华文楷体" w:cs="华文楷体"/>
          <w:i w:val="0"/>
          <w:iCs w:val="0"/>
          <w:caps w:val="0"/>
          <w:color w:val="05073B"/>
          <w:spacing w:val="0"/>
          <w:sz w:val="28"/>
          <w:szCs w:val="28"/>
          <w:bdr w:val="none" w:color="auto" w:sz="0" w:space="0"/>
          <w:shd w:val="clear" w:fill="FDFDFE"/>
        </w:rPr>
        <w:t>：</w:t>
      </w:r>
    </w:p>
    <w:p w14:paraId="727B0669">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72" w:beforeAutospacing="0" w:after="0" w:afterAutospacing="0" w:line="20" w:lineRule="atLeast"/>
        <w:ind w:left="-360" w:leftChars="0" w:right="0" w:rightChars="0" w:firstLine="770" w:firstLineChars="275"/>
        <w:rPr>
          <w:rFonts w:hint="eastAsia" w:ascii="华文楷体" w:hAnsi="华文楷体" w:eastAsia="华文楷体" w:cs="华文楷体"/>
          <w:sz w:val="28"/>
          <w:szCs w:val="28"/>
        </w:rPr>
      </w:pPr>
      <w:r>
        <w:rPr>
          <w:rFonts w:hint="eastAsia" w:ascii="华文楷体" w:hAnsi="华文楷体" w:eastAsia="华文楷体" w:cs="华文楷体"/>
          <w:i w:val="0"/>
          <w:iCs w:val="0"/>
          <w:caps w:val="0"/>
          <w:color w:val="05073B"/>
          <w:spacing w:val="0"/>
          <w:sz w:val="28"/>
          <w:szCs w:val="28"/>
          <w:bdr w:val="none" w:color="auto" w:sz="0" w:space="0"/>
          <w:shd w:val="clear" w:fill="FDFDFE"/>
        </w:rPr>
        <w:t>这种方法简单直接，没有专门的煮茶、饮茶器具，往往是在鼎、釜等日常炊具中煮茶，用食碗等日常餐具饮茶。</w:t>
      </w:r>
    </w:p>
    <w:p w14:paraId="0A249F3E">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游戏步骤：</w:t>
      </w:r>
    </w:p>
    <w:p w14:paraId="0A4F310F">
      <w:pPr>
        <w:numPr>
          <w:ilvl w:val="0"/>
          <w:numId w:val="1"/>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将茶叶加入茶具（陶窑一类、鼎、釜）中</w:t>
      </w:r>
    </w:p>
    <w:p w14:paraId="0D7955FE">
      <w:pPr>
        <w:numPr>
          <w:ilvl w:val="0"/>
          <w:numId w:val="1"/>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将香料（</w:t>
      </w:r>
      <w:r>
        <w:rPr>
          <w:rFonts w:hint="eastAsia" w:ascii="华文楷体" w:hAnsi="华文楷体" w:eastAsia="华文楷体" w:cs="华文楷体"/>
          <w:i w:val="0"/>
          <w:iCs w:val="0"/>
          <w:caps w:val="0"/>
          <w:color w:val="05073B"/>
          <w:spacing w:val="0"/>
          <w:sz w:val="28"/>
          <w:szCs w:val="28"/>
          <w:shd w:val="clear" w:fill="FDFDFE"/>
        </w:rPr>
        <w:t>葱、姜、枣、橘皮、茱萸、薄荷等物</w:t>
      </w:r>
      <w:r>
        <w:rPr>
          <w:rFonts w:hint="eastAsia" w:ascii="华文楷体" w:hAnsi="华文楷体" w:eastAsia="华文楷体" w:cs="华文楷体"/>
          <w:lang w:val="en-US" w:eastAsia="zh-CN"/>
        </w:rPr>
        <w:t>）一同加入茶具（陶窑一类、鼎、釜）中</w:t>
      </w:r>
    </w:p>
    <w:p w14:paraId="3DC8D209">
      <w:pPr>
        <w:numPr>
          <w:ilvl w:val="0"/>
          <w:numId w:val="1"/>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注水待煮沸至浓厚的羹汤状</w:t>
      </w:r>
    </w:p>
    <w:p w14:paraId="0547E2A7">
      <w:pPr>
        <w:numPr>
          <w:ilvl w:val="0"/>
          <w:numId w:val="1"/>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用碗盛出</w:t>
      </w:r>
    </w:p>
    <w:p w14:paraId="4615847A">
      <w:pPr>
        <w:numPr>
          <w:numId w:val="0"/>
        </w:numPr>
        <w:rPr>
          <w:rFonts w:hint="eastAsia" w:ascii="华文楷体" w:hAnsi="华文楷体" w:eastAsia="华文楷体" w:cs="华文楷体"/>
          <w:lang w:val="en-US" w:eastAsia="zh-CN"/>
        </w:rPr>
      </w:pPr>
    </w:p>
    <w:p w14:paraId="0E467E16">
      <w:pPr>
        <w:numPr>
          <w:numId w:val="0"/>
        </w:numPr>
        <w:rPr>
          <w:rFonts w:hint="eastAsia" w:ascii="华文楷体" w:hAnsi="华文楷体" w:eastAsia="华文楷体" w:cs="华文楷体"/>
          <w:lang w:val="en-US" w:eastAsia="zh-CN"/>
        </w:rPr>
      </w:pPr>
    </w:p>
    <w:p w14:paraId="3BB78989">
      <w:pPr>
        <w:numPr>
          <w:numId w:val="0"/>
        </w:num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茶文化小课堂</w:t>
      </w:r>
    </w:p>
    <w:p w14:paraId="791C636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Style w:val="5"/>
          <w:rFonts w:hint="eastAsia" w:ascii="华文楷体" w:hAnsi="华文楷体" w:eastAsia="华文楷体" w:cs="华文楷体"/>
          <w:i w:val="0"/>
          <w:iCs w:val="0"/>
          <w:caps w:val="0"/>
          <w:color w:val="222222"/>
          <w:spacing w:val="0"/>
          <w:sz w:val="21"/>
          <w:szCs w:val="21"/>
          <w:shd w:val="clear" w:fill="FFFFFF"/>
        </w:rPr>
        <w:t>1. 汉朝出现饼茶和煮饮方法，西晋后“茶”与“饮”紧密联系在一起了。</w:t>
      </w:r>
    </w:p>
    <w:p w14:paraId="457230F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与前秦茶叶做成羹汤当作食物食用和作为药饮汤剂而非饮品的情况不同，由于茶叶由原来的巴蜀特产进一步传播并使荆楚的湖南成为重要产茶区，同时，汉代人们对茶叶的药用功能已经有了进一步认识，使茶进入了另一个发展阶段。</w:t>
      </w:r>
    </w:p>
    <w:p w14:paraId="6DDCD82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《三国志》记载了韦曜以茶代酒的故事。孙皓即位后，每次宴请都是一喝一整天，且要求到场的人无论酒量大小，最少都要喝七升。因重臣韦曜只有两升的酒量，孙皓特别礼遇他 ，偷偷地赐他茶以代酒。这个故事告诉我们，当时饮用的是茶汤，而不再是将茶叶当菜肴吃了。在此之后的文献，凡是提到茶，都是和“饮”连在一起了。</w:t>
      </w:r>
    </w:p>
    <w:p w14:paraId="7C8A6D9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张揖(227-232 年)的《广雅》是制作饼茶的最早记载，而且具体描述了饼茶的加工和煮饮方法。当时加工饼茶的原料有老有嫩，嫩茶因内含物质丰富，黏性强，无须添加米膏，而叶老的，为了增强黏性、改善茶饼外观，要用米膏，这在当时这是比较先进的加工工艺。</w:t>
      </w:r>
    </w:p>
    <w:p w14:paraId="2BACAD6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相应的，茶煮饮的方法也与之前不同：“欲煮茗饮，先炙令色赤，捣末，置瓷器中，以汤浇覆之，用葱姜、橘子芼之。”这种烹茶法一直延续到唐宋时代，只是“用葱姜、橘子芼之”的做法在唐宋以后不见记载。</w:t>
      </w:r>
    </w:p>
    <w:p w14:paraId="0C3FB6B0">
      <w:pPr>
        <w:keepNext w:val="0"/>
        <w:keepLines w:val="0"/>
        <w:widowControl/>
        <w:suppressLineNumbers w:val="0"/>
        <w:shd w:val="clear" w:fill="FFFFFF"/>
        <w:spacing w:before="264" w:beforeAutospacing="0"/>
        <w:ind w:left="0" w:firstLine="0"/>
        <w:jc w:val="left"/>
        <w:rPr>
          <w:rFonts w:hint="eastAsia" w:ascii="华文楷体" w:hAnsi="华文楷体" w:eastAsia="华文楷体" w:cs="华文楷体"/>
          <w:i w:val="0"/>
          <w:iCs w:val="0"/>
          <w:caps w:val="0"/>
          <w:color w:val="000000"/>
          <w:spacing w:val="0"/>
          <w:sz w:val="14"/>
          <w:szCs w:val="14"/>
        </w:rPr>
      </w:pPr>
      <w:r>
        <w:rPr>
          <w:rFonts w:hint="eastAsia" w:ascii="华文楷体" w:hAnsi="华文楷体" w:eastAsia="华文楷体" w:cs="华文楷体"/>
          <w:i w:val="0"/>
          <w:iCs w:val="0"/>
          <w:caps w:val="0"/>
          <w:color w:val="000000"/>
          <w:spacing w:val="0"/>
          <w:kern w:val="0"/>
          <w:sz w:val="14"/>
          <w:szCs w:val="14"/>
          <w:shd w:val="clear" w:fill="FFFFFF"/>
          <w:lang w:val="en-US" w:eastAsia="zh-CN" w:bidi="ar"/>
        </w:rPr>
        <w:drawing>
          <wp:inline distT="0" distB="0" distL="114300" distR="114300">
            <wp:extent cx="6096000" cy="2886075"/>
            <wp:effectExtent l="0" t="0" r="0" b="9525"/>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7"/>
                    <pic:cNvPicPr>
                      <a:picLocks noChangeAspect="1"/>
                    </pic:cNvPicPr>
                  </pic:nvPicPr>
                  <pic:blipFill>
                    <a:blip r:embed="rId8"/>
                    <a:stretch>
                      <a:fillRect/>
                    </a:stretch>
                  </pic:blipFill>
                  <pic:spPr>
                    <a:xfrm>
                      <a:off x="0" y="0"/>
                      <a:ext cx="6096000" cy="2886075"/>
                    </a:xfrm>
                    <a:prstGeom prst="rect">
                      <a:avLst/>
                    </a:prstGeom>
                    <a:noFill/>
                    <a:ln w="9525">
                      <a:noFill/>
                    </a:ln>
                  </pic:spPr>
                </pic:pic>
              </a:graphicData>
            </a:graphic>
          </wp:inline>
        </w:drawing>
      </w:r>
    </w:p>
    <w:p w14:paraId="1FBFBA8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Style w:val="5"/>
          <w:rFonts w:hint="eastAsia" w:ascii="华文楷体" w:hAnsi="华文楷体" w:eastAsia="华文楷体" w:cs="华文楷体"/>
          <w:i w:val="0"/>
          <w:iCs w:val="0"/>
          <w:caps w:val="0"/>
          <w:color w:val="222222"/>
          <w:spacing w:val="0"/>
          <w:sz w:val="21"/>
          <w:szCs w:val="21"/>
          <w:shd w:val="clear" w:fill="FFFFFF"/>
        </w:rPr>
        <w:t>2.汉朝茶市已经形成，有了专门茶具。</w:t>
      </w:r>
    </w:p>
    <w:p w14:paraId="7B700E1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汉代是我国饮茶史上的一个重要阶段。西汉王褒在四川成都与家僮订立的契约《僮约》中规定了家僮的日常事务就有 “烹荼尽具，已而盖藏”和“牵犬贩鹅，武阳买茶”。</w:t>
      </w:r>
    </w:p>
    <w:p w14:paraId="1128BC3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武阳即今天四川彭山县，从成都跑到几百里外的彭山县去买茶，可见它不是在附近随时可得的一般野菜，而是很有名气的茶叶。同时也说明当时已经有了专卖茶叶的茶市和贩卖生意。</w:t>
      </w:r>
    </w:p>
    <w:p w14:paraId="6BDC01A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前秦茶作为菜羹或药饮时，茶具与食物或药饮用具是混用的。 而汉朝，要在契约中专门规定“烹荼尽具”(煮完茶后要把茶具收拾干净)，说明了当时已经有专门用于饮茶的茶具，茶具可能不止一两个，是一套，也足见茶具清洗起来是有工作量的、是贵重的。</w:t>
      </w:r>
    </w:p>
    <w:p w14:paraId="453F4C85">
      <w:pPr>
        <w:keepNext w:val="0"/>
        <w:keepLines w:val="0"/>
        <w:widowControl/>
        <w:suppressLineNumbers w:val="0"/>
        <w:shd w:val="clear" w:fill="FFFFFF"/>
        <w:spacing w:before="264" w:beforeAutospacing="0"/>
        <w:ind w:left="0" w:firstLine="0"/>
        <w:jc w:val="left"/>
        <w:rPr>
          <w:rFonts w:hint="eastAsia" w:ascii="华文楷体" w:hAnsi="华文楷体" w:eastAsia="华文楷体" w:cs="华文楷体"/>
          <w:i w:val="0"/>
          <w:iCs w:val="0"/>
          <w:caps w:val="0"/>
          <w:color w:val="000000"/>
          <w:spacing w:val="0"/>
          <w:sz w:val="14"/>
          <w:szCs w:val="14"/>
        </w:rPr>
      </w:pPr>
      <w:r>
        <w:rPr>
          <w:rFonts w:hint="eastAsia" w:ascii="华文楷体" w:hAnsi="华文楷体" w:eastAsia="华文楷体" w:cs="华文楷体"/>
          <w:i w:val="0"/>
          <w:iCs w:val="0"/>
          <w:caps w:val="0"/>
          <w:color w:val="000000"/>
          <w:spacing w:val="0"/>
          <w:kern w:val="0"/>
          <w:sz w:val="14"/>
          <w:szCs w:val="14"/>
          <w:shd w:val="clear" w:fill="FFFFFF"/>
          <w:lang w:val="en-US" w:eastAsia="zh-CN" w:bidi="ar"/>
        </w:rPr>
        <w:drawing>
          <wp:inline distT="0" distB="0" distL="114300" distR="114300">
            <wp:extent cx="6096000" cy="3514725"/>
            <wp:effectExtent l="0" t="0" r="0" b="571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9"/>
                    <a:stretch>
                      <a:fillRect/>
                    </a:stretch>
                  </pic:blipFill>
                  <pic:spPr>
                    <a:xfrm>
                      <a:off x="0" y="0"/>
                      <a:ext cx="6096000" cy="3514725"/>
                    </a:xfrm>
                    <a:prstGeom prst="rect">
                      <a:avLst/>
                    </a:prstGeom>
                    <a:noFill/>
                    <a:ln w="9525">
                      <a:noFill/>
                    </a:ln>
                  </pic:spPr>
                </pic:pic>
              </a:graphicData>
            </a:graphic>
          </wp:inline>
        </w:drawing>
      </w:r>
    </w:p>
    <w:p w14:paraId="25DF293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Style w:val="5"/>
          <w:rFonts w:hint="eastAsia" w:ascii="华文楷体" w:hAnsi="华文楷体" w:eastAsia="华文楷体" w:cs="华文楷体"/>
          <w:i w:val="0"/>
          <w:iCs w:val="0"/>
          <w:caps w:val="0"/>
          <w:color w:val="222222"/>
          <w:spacing w:val="0"/>
          <w:sz w:val="21"/>
          <w:szCs w:val="21"/>
          <w:shd w:val="clear" w:fill="FFFFFF"/>
        </w:rPr>
        <w:t>3.在南方，饮茶已经成为家常之事、待客之物。</w:t>
      </w:r>
    </w:p>
    <w:p w14:paraId="5DFAE1F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左思《娇女诗》描写了西晋贵族家庭饮茶的日常：两位天真烂漫的女儿在一直玩耍，口渴了急着要喝茶，只想茶水快点烧开，对着茶妒用嘴吹火，最后衣袖弄脏了，脸蛋熏黑了，遭到长辈教训，掩泪面壁。这是一首描写居家生活的诗，可见当时喝茶是家常事，茶已经成为贵族家常饮料。</w:t>
      </w:r>
    </w:p>
    <w:p w14:paraId="32FB742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东晋时期，茶已用于建康（今南京）等地的待客，茶已然进入寻常生活之中。</w:t>
      </w:r>
    </w:p>
    <w:p w14:paraId="3C5B9AD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在北方，茶有了一定的影响但尚不普及。据《世说新语》载“任瞻问茶”一事。任瞻年轻时在官场颇有名声，随晋室南渡。一次，他到建康，当时和一些名士聚会，因他对茶不熟悉，大概只是道听途说了一些关于茶、茗的事，看到有茶上来，便问是茶是茗。他看到大家一脸狐疑后，知道自己说了外行话。</w:t>
      </w:r>
    </w:p>
    <w:p w14:paraId="3589C6B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jc w:val="both"/>
        <w:rPr>
          <w:rFonts w:hint="eastAsia" w:ascii="华文楷体" w:hAnsi="华文楷体" w:eastAsia="华文楷体" w:cs="华文楷体"/>
          <w:caps w:val="0"/>
          <w:color w:val="222222"/>
          <w:spacing w:val="0"/>
          <w:sz w:val="21"/>
          <w:szCs w:val="21"/>
        </w:rPr>
      </w:pPr>
      <w:r>
        <w:rPr>
          <w:rFonts w:hint="eastAsia" w:ascii="华文楷体" w:hAnsi="华文楷体" w:eastAsia="华文楷体" w:cs="华文楷体"/>
          <w:i w:val="0"/>
          <w:iCs w:val="0"/>
          <w:caps w:val="0"/>
          <w:color w:val="222222"/>
          <w:spacing w:val="0"/>
          <w:sz w:val="21"/>
          <w:szCs w:val="21"/>
          <w:shd w:val="clear" w:fill="FFFFFF"/>
        </w:rPr>
        <w:t>山东人贾思勰著的农业科学著作《齐民要术》对我国农业产生了深远影响，其中收录了南方才有的茶叶条目，说明当时茶叶在北方也有了一定的知名度。</w:t>
      </w:r>
    </w:p>
    <w:p w14:paraId="24AEED96">
      <w:pPr>
        <w:numPr>
          <w:numId w:val="0"/>
        </w:numPr>
        <w:rPr>
          <w:rFonts w:hint="eastAsia" w:ascii="华文楷体" w:hAnsi="华文楷体" w:eastAsia="华文楷体" w:cs="华文楷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华文新魏">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D52E7D"/>
    <w:multiLevelType w:val="singleLevel"/>
    <w:tmpl w:val="97D52E7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Q5MDlhOGUyMThkZjY2ZGYzMjIzMzAwZjRiMjI2MDcifQ=="/>
  </w:docVars>
  <w:rsids>
    <w:rsidRoot w:val="00000000"/>
    <w:rsid w:val="1F1A02DD"/>
    <w:rsid w:val="39F72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2024-11-16T01:26:39Z</dcterms:created>
  <dc:creator>钟国桐</dc:creator>
  <cp:lastModifiedBy>WPS_1647330387</cp:lastModifiedBy>
  <dcterms:modified xsi:type="dcterms:W3CDTF">2024-11-16T02:07:13Z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1D947C56004541AD8C78E67DEFA78EA3_12</vt:lpwstr>
  </property>
</Properties>
</file>