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DFH-SAL-021 高齢者・脆弱顧客販売対応マニュアル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DFH-SAL-021</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高齢者・脆弱顧客販売対応マニュアル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高齢者・脆弱顧客に接する販売担当者</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高齢者・脆弱顧客販売対応マニュアルに関する販売実務を、担当者の経験則に依存させず、受付、説明、確認、申込、記録、点検まで同じ粒度で実行するための手順である。投資、保険、ローンは顧客の資産状況、返済能力、加入目的、リスク許容度により適合性の判断が変わるため、販売担当者は提案前に顧客情報を更新し、推奨理由を記録する。 販売担当者は、販売成果だけでなく、顧客理解、説明品質、申込不備、苦情、販売後フォローの状態を一体で管理する。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対面、電話、オンライン面談</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投資、保険、ローン</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ダミーCRM、ダミー販売管理システム、ダミー共通顧客ID基盤、ダミー文書管理システム、ダミー同意ログ基盤</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販売記録、顧客説明チェック、同意ログ、申込データ、審査連携ログ、管理者承認ログ、顧客連絡履歴</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販売対象商品、対象顧客、チャネル可否、キャンペーン条件を確認する。</w:t>
      </w:r>
    </w:p>
    <w:p>
      <w:pPr>
        <w:pStyle w:val="ListNumber"/>
        <w:spacing w:after="60"/>
      </w:pPr>
      <w:r>
        <w:rPr>
          <w:rFonts w:ascii="Calibri" w:hAnsi="Calibri" w:eastAsia="Yu Gothic"/>
          <w:sz w:val="21"/>
        </w:rPr>
        <w:t>顧客属性、既存契約、過去の苦情、連絡同意、本人確認状況を確認する。</w:t>
      </w:r>
    </w:p>
    <w:p>
      <w:pPr>
        <w:pStyle w:val="ListNumber"/>
        <w:spacing w:after="60"/>
      </w:pPr>
      <w:r>
        <w:rPr>
          <w:rFonts w:ascii="Calibri" w:hAnsi="Calibri" w:eastAsia="Yu Gothic"/>
          <w:sz w:val="21"/>
        </w:rPr>
        <w:t>顧客の意向、課題、理解度に応じて説明順序を決め、必要資料を提示する。</w:t>
      </w:r>
    </w:p>
    <w:p>
      <w:pPr>
        <w:pStyle w:val="ListNumber"/>
        <w:spacing w:after="60"/>
      </w:pPr>
      <w:r>
        <w:rPr>
          <w:rFonts w:ascii="Calibri" w:hAnsi="Calibri" w:eastAsia="Yu Gothic"/>
          <w:sz w:val="21"/>
        </w:rPr>
        <w:t>重要事項、費用、リスク、取消条件、顧客不利益となり得る事項を説明する。</w:t>
      </w:r>
    </w:p>
    <w:p>
      <w:pPr>
        <w:pStyle w:val="ListNumber"/>
        <w:spacing w:after="60"/>
      </w:pPr>
      <w:r>
        <w:rPr>
          <w:rFonts w:ascii="Calibri" w:hAnsi="Calibri" w:eastAsia="Yu Gothic"/>
          <w:sz w:val="21"/>
        </w:rPr>
        <w:t>申込意思、同意取得、確認チェック、必要書類を取得し、申込データを登録する。</w:t>
      </w:r>
    </w:p>
    <w:p>
      <w:pPr>
        <w:pStyle w:val="ListNumber"/>
        <w:spacing w:after="60"/>
      </w:pPr>
      <w:r>
        <w:rPr>
          <w:rFonts w:ascii="Calibri" w:hAnsi="Calibri" w:eastAsia="Yu Gothic"/>
          <w:sz w:val="21"/>
        </w:rPr>
        <w:t>審査、契約成立、書面交付、初回利用フォローへ引き継ぐ。</w:t>
      </w:r>
    </w:p>
    <w:p>
      <w:pPr>
        <w:pStyle w:val="ListNumber"/>
        <w:spacing w:after="60"/>
      </w:pPr>
      <w:r>
        <w:rPr>
          <w:rFonts w:ascii="Calibri" w:hAnsi="Calibri" w:eastAsia="Yu Gothic"/>
          <w:sz w:val="21"/>
        </w:rPr>
        <w:t>不備、苦情、説明補足、販売見送りが発生した場合は、同日中に管理者へ報告する。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51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担当</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872"/>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512"/>
            <w:vAlign w:val="center"/>
            <w:tcMar>
              <w:top w:w="80" w:type="dxa"/>
              <w:start w:w="120" w:type="dxa"/>
              <w:bottom w:w="80" w:type="dxa"/>
              <w:end w:w="120" w:type="dxa"/>
            </w:tcMar>
          </w:tcPr>
          <w:p>
            <w:pPr>
              <w:spacing w:after="0"/>
            </w:pPr>
            <w:r/>
            <w:r>
              <w:rPr>
                <w:rFonts w:ascii="Calibri" w:hAnsi="Calibri" w:eastAsia="Yu Gothic"/>
                <w:b w:val="0"/>
                <w:sz w:val="18"/>
              </w:rPr>
              <w:t>事前確認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商品別販売可否、顧客属性、連絡同意、キャンペーン条件、説明資料の版数を確認する。</w:t>
            </w:r>
          </w:p>
        </w:tc>
        <w:tc>
          <w:tcPr>
            <w:tcW w:type="dxa" w:w="1872"/>
            <w:vAlign w:val="center"/>
            <w:tcMar>
              <w:top w:w="80" w:type="dxa"/>
              <w:start w:w="120" w:type="dxa"/>
              <w:bottom w:w="80" w:type="dxa"/>
              <w:end w:w="120" w:type="dxa"/>
            </w:tcMar>
          </w:tcPr>
          <w:p>
            <w:pPr>
              <w:spacing w:after="0"/>
            </w:pPr>
            <w:r/>
            <w:r>
              <w:rPr>
                <w:rFonts w:ascii="Calibri" w:hAnsi="Calibri" w:eastAsia="Yu Gothic"/>
                <w:b w:val="0"/>
                <w:sz w:val="18"/>
              </w:rPr>
              <w:t>販売前確認ログ</w:t>
            </w:r>
          </w:p>
        </w:tc>
      </w:tr>
      <w:tr>
        <w:tc>
          <w:tcPr>
            <w:tcW w:type="dxa" w:w="1512"/>
            <w:vAlign w:val="center"/>
            <w:tcMar>
              <w:top w:w="80" w:type="dxa"/>
              <w:start w:w="120" w:type="dxa"/>
              <w:bottom w:w="80" w:type="dxa"/>
              <w:end w:w="120" w:type="dxa"/>
            </w:tcMar>
          </w:tcPr>
          <w:p>
            <w:pPr>
              <w:spacing w:after="0"/>
            </w:pPr>
            <w:r/>
            <w:r>
              <w:rPr>
                <w:rFonts w:ascii="Calibri" w:hAnsi="Calibri" w:eastAsia="Yu Gothic"/>
                <w:b w:val="0"/>
                <w:sz w:val="18"/>
              </w:rPr>
              <w:t>一次説明</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顧客の関心事項に合わせて商品概要、費用、リスク、手続期限を説明する。</w:t>
            </w:r>
          </w:p>
        </w:tc>
        <w:tc>
          <w:tcPr>
            <w:tcW w:type="dxa" w:w="1872"/>
            <w:vAlign w:val="center"/>
            <w:tcMar>
              <w:top w:w="80" w:type="dxa"/>
              <w:start w:w="120" w:type="dxa"/>
              <w:bottom w:w="80" w:type="dxa"/>
              <w:end w:w="120" w:type="dxa"/>
            </w:tcMar>
          </w:tcPr>
          <w:p>
            <w:pPr>
              <w:spacing w:after="0"/>
            </w:pPr>
            <w:r/>
            <w:r>
              <w:rPr>
                <w:rFonts w:ascii="Calibri" w:hAnsi="Calibri" w:eastAsia="Yu Gothic"/>
                <w:b w:val="0"/>
                <w:sz w:val="18"/>
              </w:rPr>
              <w:t>説明記録、資料提示履歴</w:t>
            </w:r>
          </w:p>
        </w:tc>
      </w:tr>
      <w:tr>
        <w:tc>
          <w:tcPr>
            <w:tcW w:type="dxa" w:w="1512"/>
            <w:vAlign w:val="center"/>
            <w:tcMar>
              <w:top w:w="80" w:type="dxa"/>
              <w:start w:w="120" w:type="dxa"/>
              <w:bottom w:w="80" w:type="dxa"/>
              <w:end w:w="120" w:type="dxa"/>
            </w:tcMar>
          </w:tcPr>
          <w:p>
            <w:pPr>
              <w:spacing w:after="0"/>
            </w:pPr>
            <w:r/>
            <w:r>
              <w:rPr>
                <w:rFonts w:ascii="Calibri" w:hAnsi="Calibri" w:eastAsia="Yu Gothic"/>
                <w:b w:val="0"/>
                <w:sz w:val="18"/>
              </w:rPr>
              <w:t>適合性・意向確認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顧客の目的、経験、資産状況、既存契約、不安点を確認し、提案可否を判断する。</w:t>
            </w:r>
          </w:p>
        </w:tc>
        <w:tc>
          <w:tcPr>
            <w:tcW w:type="dxa" w:w="1872"/>
            <w:vAlign w:val="center"/>
            <w:tcMar>
              <w:top w:w="80" w:type="dxa"/>
              <w:start w:w="120" w:type="dxa"/>
              <w:bottom w:w="80" w:type="dxa"/>
              <w:end w:w="120" w:type="dxa"/>
            </w:tcMar>
          </w:tcPr>
          <w:p>
            <w:pPr>
              <w:spacing w:after="0"/>
            </w:pPr>
            <w:r/>
            <w:r>
              <w:rPr>
                <w:rFonts w:ascii="Calibri" w:hAnsi="Calibri" w:eastAsia="Yu Gothic"/>
                <w:b w:val="0"/>
                <w:sz w:val="18"/>
              </w:rPr>
              <w:t>意向把握シート、適合性チェック</w:t>
            </w:r>
          </w:p>
        </w:tc>
      </w:tr>
      <w:tr>
        <w:tc>
          <w:tcPr>
            <w:tcW w:type="dxa" w:w="1512"/>
            <w:vAlign w:val="center"/>
            <w:tcMar>
              <w:top w:w="80" w:type="dxa"/>
              <w:start w:w="120" w:type="dxa"/>
              <w:bottom w:w="80" w:type="dxa"/>
              <w:end w:w="120" w:type="dxa"/>
            </w:tcMar>
          </w:tcPr>
          <w:p>
            <w:pPr>
              <w:spacing w:after="0"/>
            </w:pPr>
            <w:r/>
            <w:r>
              <w:rPr>
                <w:rFonts w:ascii="Calibri" w:hAnsi="Calibri" w:eastAsia="Yu Gothic"/>
                <w:b w:val="0"/>
                <w:sz w:val="18"/>
              </w:rPr>
              <w:t>申込受付</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申込担当</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本人確認、入力項目、同意ログ、必要書類、反社・制裁照合結果を確認する。</w:t>
            </w:r>
          </w:p>
        </w:tc>
        <w:tc>
          <w:tcPr>
            <w:tcW w:type="dxa" w:w="1872"/>
            <w:vAlign w:val="center"/>
            <w:tcMar>
              <w:top w:w="80" w:type="dxa"/>
              <w:start w:w="120" w:type="dxa"/>
              <w:bottom w:w="80" w:type="dxa"/>
              <w:end w:w="120" w:type="dxa"/>
            </w:tcMar>
          </w:tcPr>
          <w:p>
            <w:pPr>
              <w:spacing w:after="0"/>
            </w:pPr>
            <w:r/>
            <w:r>
              <w:rPr>
                <w:rFonts w:ascii="Calibri" w:hAnsi="Calibri" w:eastAsia="Yu Gothic"/>
                <w:b w:val="0"/>
                <w:sz w:val="18"/>
              </w:rPr>
              <w:t>申込受付ログ、eKYC結果</w:t>
            </w:r>
          </w:p>
        </w:tc>
      </w:tr>
      <w:tr>
        <w:tc>
          <w:tcPr>
            <w:tcW w:type="dxa" w:w="151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例外、苦情化懸念、高齢者対応、説明補足の要否を確認する。</w:t>
            </w:r>
          </w:p>
        </w:tc>
        <w:tc>
          <w:tcPr>
            <w:tcW w:type="dxa" w:w="1872"/>
            <w:vAlign w:val="center"/>
            <w:tcMar>
              <w:top w:w="80" w:type="dxa"/>
              <w:start w:w="120" w:type="dxa"/>
              <w:bottom w:w="80" w:type="dxa"/>
              <w:end w:w="120" w:type="dxa"/>
            </w:tcMar>
          </w:tcPr>
          <w:p>
            <w:pPr>
              <w:spacing w:after="0"/>
            </w:pPr>
            <w:r/>
            <w:r>
              <w:rPr>
                <w:rFonts w:ascii="Calibri" w:hAnsi="Calibri" w:eastAsia="Yu Gothic"/>
                <w:b w:val="0"/>
                <w:sz w:val="18"/>
              </w:rPr>
              <w:t>承認ログ、差戻し記録</w:t>
            </w:r>
          </w:p>
        </w:tc>
      </w:tr>
      <w:tr>
        <w:tc>
          <w:tcPr>
            <w:tcW w:type="dxa" w:w="1512"/>
            <w:vAlign w:val="center"/>
            <w:tcMar>
              <w:top w:w="80" w:type="dxa"/>
              <w:start w:w="120" w:type="dxa"/>
              <w:bottom w:w="80" w:type="dxa"/>
              <w:end w:w="120" w:type="dxa"/>
            </w:tcMar>
          </w:tcPr>
          <w:p>
            <w:pPr>
              <w:spacing w:after="0"/>
            </w:pPr>
            <w:r/>
            <w:r>
              <w:rPr>
                <w:rFonts w:ascii="Calibri" w:hAnsi="Calibri" w:eastAsia="Yu Gothic"/>
                <w:b w:val="0"/>
                <w:sz w:val="18"/>
              </w:rPr>
              <w:t>販売後フォロー</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顧客接点担当</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初回利用、契約内容確認、問い合わせ、解約兆候をフォローする。</w:t>
            </w:r>
          </w:p>
        </w:tc>
        <w:tc>
          <w:tcPr>
            <w:tcW w:type="dxa" w:w="1872"/>
            <w:vAlign w:val="center"/>
            <w:tcMar>
              <w:top w:w="80" w:type="dxa"/>
              <w:start w:w="120" w:type="dxa"/>
              <w:bottom w:w="80" w:type="dxa"/>
              <w:end w:w="120" w:type="dxa"/>
            </w:tcMar>
          </w:tcPr>
          <w:p>
            <w:pPr>
              <w:spacing w:after="0"/>
            </w:pPr>
            <w:r/>
            <w:r>
              <w:rPr>
                <w:rFonts w:ascii="Calibri" w:hAnsi="Calibri" w:eastAsia="Yu Gothic"/>
                <w:b w:val="0"/>
                <w:sz w:val="18"/>
              </w:rPr>
              <w:t>フォロー履歴、VOC分類</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顧客属性、説明、同意、申込情報に不備がなく、販売対象商品として適切である。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顧客理解に不安がある、資料の読み込み不足、質問未回答、比較説明不足がある。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高齢者、脆弱顧客、例外条件、利益相反、手数料説明、乗換、クロスセルがある。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顧客意向と商品特性が合わない、理解不足が解消しない、本人確認または同意が未完了である。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誤表示、誤説明、広範な顧客影響、苦情多発、不正疑義、無資格販売の疑いがある。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顧客が理解していないまま、同意ボタン押下、申込署名、録音上の形式的回答を誘導すること。</w:t>
      </w:r>
    </w:p>
    <w:p>
      <w:pPr>
        <w:pStyle w:val="ListBullet"/>
        <w:spacing w:after="60"/>
      </w:pPr>
      <w:r>
        <w:rPr>
          <w:rFonts w:ascii="Calibri" w:hAnsi="Calibri" w:eastAsia="Yu Gothic"/>
          <w:sz w:val="21"/>
        </w:rPr>
        <w:t>審査、利回り、補償、特典、返金、税務効果など不確定事項を断定すること。</w:t>
      </w:r>
    </w:p>
    <w:p>
      <w:pPr>
        <w:pStyle w:val="ListBullet"/>
        <w:spacing w:after="60"/>
      </w:pPr>
      <w:r>
        <w:rPr>
          <w:rFonts w:ascii="Calibri" w:hAnsi="Calibri" w:eastAsia="Yu Gothic"/>
          <w:sz w:val="21"/>
        </w:rPr>
        <w:t>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顧客の不安、苦情、迷い、家族相談希望を記録せず、販売手続を先に進めること。</w:t>
      </w:r>
    </w:p>
    <w:p>
      <w:pPr>
        <w:pStyle w:val="ListBullet"/>
        <w:spacing w:after="60"/>
      </w:pPr>
      <w:r>
        <w:rPr>
          <w:rFonts w:ascii="Calibri" w:hAnsi="Calibri" w:eastAsia="Yu Gothic"/>
          <w:sz w:val="21"/>
        </w:rPr>
        <w:t>販売目標達成のために、不要なクロスセル、短期間の乗換、顧客属性に合わない推奨を行うこと。</w:t>
      </w:r>
    </w:p>
    <w:p>
      <w:pPr>
        <w:pStyle w:val="Heading1"/>
      </w:pPr>
      <w:r>
        <w:rPr>
          <w:rFonts w:ascii="Calibri" w:hAnsi="Calibri" w:eastAsia="Yu Gothic"/>
          <w:color w:val="2E74B5"/>
        </w:rPr>
        <w:t>7. 証跡と保存</w:t>
      </w:r>
    </w:p>
    <w:p>
      <w:pPr>
        <w:spacing w:after="120" w:line="300" w:lineRule="auto"/>
      </w:pPr>
      <w:r>
        <w:rPr>
          <w:rFonts w:ascii="Calibri" w:hAnsi="Calibri" w:eastAsia="Yu Gothic"/>
          <w:sz w:val="21"/>
        </w:rPr>
        <w:t>販売証跡は、顧客単位、申込単位、商品単位、担当者単位で検索できる状態にする。録音、チャット、画面同意、電子交付、申込不備、管理者承認は、ダミー文書管理システムまたはダミー同意ログ基盤へ連携し、保存期間満了前に削除してはならない。証跡が欠落した場合は、販売品質管理部へ連絡し、顧客影響の有無、再説明の要否、契約成立可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申込不備率</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入力漏れ、本人確認不一致、同意ログ欠落</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前月比 +20% または 3%超</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原因別に担当者・導線・資料を確認</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説明補足率</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追加説明、再説明、顧客理解不足</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説明資料とトークスクリプトを見直し</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販売苦情率</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誤認、強引勧誘、手数料、取消条件</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1,000件あたり2件超</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サンプル点検と管理者面談を実施</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例外承認件数</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高齢者、乗換、利益相反、期限超過</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3か月連続増加</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承認理由と再発性を分析</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販売後解約率</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初回利用前解約、説明不足起因の解約</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商品別基準値超過</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販売前説明とフォロー手順を見直し</w:t>
            </w:r>
          </w:p>
        </w:tc>
      </w:tr>
    </w:tbl>
    <w:p/>
    <w:p>
      <w:pPr>
        <w:pStyle w:val="Heading1"/>
      </w:pPr>
      <w:r>
        <w:rPr>
          <w:rFonts w:ascii="Calibri" w:hAnsi="Calibri" w:eastAsia="Yu Gothic"/>
          <w:color w:val="2E74B5"/>
        </w:rPr>
        <w:t>補足. 日次・月次運用</w:t>
      </w:r>
    </w:p>
    <w:p>
      <w:pPr>
        <w:spacing w:after="120" w:line="300" w:lineRule="auto"/>
      </w:pPr>
      <w:r>
        <w:rPr>
          <w:rFonts w:ascii="Calibri" w:hAnsi="Calibri" w:eastAsia="Yu Gothic"/>
          <w:sz w:val="21"/>
        </w:rPr>
        <w:t>高齢者・脆弱顧客販売対応マニュアルの運用では、販売担当者が日々の処理を完了させるだけでなく、管理者が未処理、差戻し、例外、苦情化懸念を把握し、主管部署が月次で傾向を評価する。日次確認は販売現場の滞留を防ぐための統制であり、月次確認は制度、資料、画面、教育、委託先管理の改善につなげるための統制である。販売量が少ない商品でも、1件あたりの顧客影響が大きい場合は月次の件数だけでなく個別事案の質的レビューを行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未完了申込、顧客回答待ち、説明補足、同意未取得、申込不備を確認する。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日次処理メモ、CRMステータス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例外承認、販売見送り、苦情化懸念、高齢者対応、顧客影響がある案件を確認する。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施策別の進捗、広告・導線の不備、申込不備の集中、担当者別ばらつきを確認する。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KPI/KRI、販売苦情、説明不備、録音レビュー、チェックシート不備を確認する。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販売目標、顧客本位KPI、研修状況、規程改定要否を確認する。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 証跡粒度と検索キー</w:t>
      </w:r>
    </w:p>
    <w:p>
      <w:pPr>
        <w:spacing w:after="120" w:line="300" w:lineRule="auto"/>
      </w:pPr>
      <w:r>
        <w:rPr>
          <w:rFonts w:ascii="Calibri" w:hAnsi="Calibri" w:eastAsia="Yu Gothic"/>
          <w:sz w:val="21"/>
        </w:rPr>
        <w:t>販売証跡は、後日の苦情、監査、当局照会、システム障害時の顧客影響調査に耐える粒度で保存する。単に「説明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顧客説明</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顧客ID、商品ID、説明資料版数、担当者ID、説明日時</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重要事項、費用、リスク、取消条件、顧客質問を分けて記録する。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同意取得</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申込ID、同意画面ID、同意文言版数、同意日時、IPまたは端末識別子</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同意文言の改定があった場合は、改定前後の版数を混在させない。</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申込受付</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申込ID、チャネル、受付日時、本人確認結果、審査連携ID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差戻し、再受付、取消、撤回は別イベントとして保存する。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管理者承認</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承認ID、承認者、承認日時、例外理由、条件付き承認内容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口頭承認で処理を進めず、後追い登録の場合は理由を記録する。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販売後フォロー</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契約ID、フォロー種別、顧客反応、未解決事項、次回対応期限</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解約兆候や不満申出はVOC分類へ連携する。</w:t>
            </w:r>
          </w:p>
        </w:tc>
      </w:tr>
    </w:tbl>
    <w:p/>
    <w:p>
      <w:pPr>
        <w:pStyle w:val="Heading1"/>
      </w:pPr>
      <w:r>
        <w:rPr>
          <w:rFonts w:ascii="Calibri" w:hAnsi="Calibri" w:eastAsia="Yu Gothic"/>
          <w:color w:val="2E74B5"/>
        </w:rPr>
        <w:t>補足.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3240"/>
            <w:vAlign w:val="center"/>
            <w:shd w:fill="E8EEF5"/>
            <w:tcMar>
              <w:top w:w="80" w:type="dxa"/>
              <w:start w:w="120" w:type="dxa"/>
              <w:bottom w:w="80" w:type="dxa"/>
              <w:end w:w="120" w:type="dxa"/>
            </w:tcMar>
          </w:tcPr>
          <w:p>
            <w:pPr>
              <w:spacing w:after="0"/>
            </w:pPr>
            <w:r/>
            <w:r>
              <w:rPr>
                <w:rFonts w:ascii="Calibri" w:hAnsi="Calibri" w:eastAsia="Yu Gothic"/>
                <w:b/>
                <w:sz w:val="18"/>
              </w:rPr>
              <w:t>事例</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初期判断</w:t>
            </w:r>
          </w:p>
        </w:tc>
        <w:tc>
          <w:tcPr>
            <w:tcW w:type="dxa" w:w="4680"/>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240"/>
            <w:vAlign w:val="center"/>
            <w:tcMar>
              <w:top w:w="80" w:type="dxa"/>
              <w:start w:w="120" w:type="dxa"/>
              <w:bottom w:w="80" w:type="dxa"/>
              <w:end w:w="120" w:type="dxa"/>
            </w:tcMar>
          </w:tcPr>
          <w:p>
            <w:pPr>
              <w:spacing w:after="0"/>
            </w:pPr>
            <w:r/>
            <w:r>
              <w:rPr>
                <w:rFonts w:ascii="Calibri" w:hAnsi="Calibri" w:eastAsia="Yu Gothic"/>
                <w:b w:val="0"/>
                <w:sz w:val="18"/>
              </w:rPr>
              <w:t>顧客が特典だけを理由に申込を急いでおり、費用やリスク説明への理解が浅い。</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80"/>
            <w:vAlign w:val="center"/>
            <w:tcMar>
              <w:top w:w="80" w:type="dxa"/>
              <w:start w:w="120" w:type="dxa"/>
              <w:bottom w:w="80" w:type="dxa"/>
              <w:end w:w="120" w:type="dxa"/>
            </w:tcMar>
          </w:tcPr>
          <w:p>
            <w:pPr>
              <w:spacing w:after="0"/>
            </w:pPr>
            <w:r/>
            <w:r>
              <w:rPr>
                <w:rFonts w:ascii="Calibri" w:hAnsi="Calibri" w:eastAsia="Yu Gothic"/>
                <w:b w:val="0"/>
                <w:sz w:val="18"/>
              </w:rPr>
              <w:t>特典条件と商品本体の費用・リスクを分けて再説明し、理解確認を記録する。</w:t>
            </w:r>
          </w:p>
        </w:tc>
      </w:tr>
      <w:tr>
        <w:tc>
          <w:tcPr>
            <w:tcW w:type="dxa" w:w="3240"/>
            <w:vAlign w:val="center"/>
            <w:tcMar>
              <w:top w:w="80" w:type="dxa"/>
              <w:start w:w="120" w:type="dxa"/>
              <w:bottom w:w="80" w:type="dxa"/>
              <w:end w:w="120" w:type="dxa"/>
            </w:tcMar>
          </w:tcPr>
          <w:p>
            <w:pPr>
              <w:spacing w:after="0"/>
            </w:pPr>
            <w:r/>
            <w:r>
              <w:rPr>
                <w:rFonts w:ascii="Calibri" w:hAnsi="Calibri" w:eastAsia="Yu Gothic"/>
                <w:b w:val="0"/>
                <w:sz w:val="18"/>
              </w:rPr>
              <w:t>申込後に顧客から家族に相談したいとの申し出があった。</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保留</w:t>
            </w:r>
          </w:p>
        </w:tc>
        <w:tc>
          <w:tcPr>
            <w:tcW w:type="dxa" w:w="4680"/>
            <w:vAlign w:val="center"/>
            <w:tcMar>
              <w:top w:w="80" w:type="dxa"/>
              <w:start w:w="120" w:type="dxa"/>
              <w:bottom w:w="80" w:type="dxa"/>
              <w:end w:w="120" w:type="dxa"/>
            </w:tcMar>
          </w:tcPr>
          <w:p>
            <w:pPr>
              <w:spacing w:after="0"/>
            </w:pPr>
            <w:r/>
            <w:r>
              <w:rPr>
                <w:rFonts w:ascii="Calibri" w:hAnsi="Calibri" w:eastAsia="Yu Gothic"/>
                <w:b w:val="0"/>
                <w:sz w:val="18"/>
              </w:rPr>
              <w:t>処理期限と取消可否を説明し、顧客意思が明確になるまで販売手続を進めない。</w:t>
            </w:r>
          </w:p>
        </w:tc>
      </w:tr>
      <w:tr>
        <w:tc>
          <w:tcPr>
            <w:tcW w:type="dxa" w:w="3240"/>
            <w:vAlign w:val="center"/>
            <w:tcMar>
              <w:top w:w="80" w:type="dxa"/>
              <w:start w:w="120" w:type="dxa"/>
              <w:bottom w:w="80" w:type="dxa"/>
              <w:end w:w="120" w:type="dxa"/>
            </w:tcMar>
          </w:tcPr>
          <w:p>
            <w:pPr>
              <w:spacing w:after="0"/>
            </w:pPr>
            <w:r/>
            <w:r>
              <w:rPr>
                <w:rFonts w:ascii="Calibri" w:hAnsi="Calibri" w:eastAsia="Yu Gothic"/>
                <w:b w:val="0"/>
                <w:sz w:val="18"/>
              </w:rPr>
              <w:t>販売担当者が使った説明資料の版数が、広告審査済みの版と異なる。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要報告</w:t>
            </w:r>
          </w:p>
        </w:tc>
        <w:tc>
          <w:tcPr>
            <w:tcW w:type="dxa" w:w="4680"/>
            <w:vAlign w:val="center"/>
            <w:tcMar>
              <w:top w:w="80" w:type="dxa"/>
              <w:start w:w="120" w:type="dxa"/>
              <w:bottom w:w="80" w:type="dxa"/>
              <w:end w:w="120" w:type="dxa"/>
            </w:tcMar>
          </w:tcPr>
          <w:p>
            <w:pPr>
              <w:spacing w:after="0"/>
            </w:pPr>
            <w:r/>
            <w:r>
              <w:rPr>
                <w:rFonts w:ascii="Calibri" w:hAnsi="Calibri" w:eastAsia="Yu Gothic"/>
                <w:b w:val="0"/>
                <w:sz w:val="18"/>
              </w:rPr>
              <w:t>当該案件を保留し、顧客影響を確認したうえで資料管理と再説明要否を判断する。</w:t>
            </w:r>
          </w:p>
        </w:tc>
      </w:tr>
      <w:tr>
        <w:tc>
          <w:tcPr>
            <w:tcW w:type="dxa" w:w="3240"/>
            <w:vAlign w:val="center"/>
            <w:tcMar>
              <w:top w:w="80" w:type="dxa"/>
              <w:start w:w="120" w:type="dxa"/>
              <w:bottom w:w="80" w:type="dxa"/>
              <w:end w:w="120" w:type="dxa"/>
            </w:tcMar>
          </w:tcPr>
          <w:p>
            <w:pPr>
              <w:spacing w:after="0"/>
            </w:pPr>
            <w:r/>
            <w:r>
              <w:rPr>
                <w:rFonts w:ascii="Calibri" w:hAnsi="Calibri" w:eastAsia="Yu Gothic"/>
                <w:b w:val="0"/>
                <w:sz w:val="18"/>
              </w:rPr>
              <w:t>高齢顧客が電話で内容を理解したと回答したが、同じ質問を繰り返している。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80"/>
            <w:vAlign w:val="center"/>
            <w:tcMar>
              <w:top w:w="80" w:type="dxa"/>
              <w:start w:w="120" w:type="dxa"/>
              <w:bottom w:w="80" w:type="dxa"/>
              <w:end w:w="120" w:type="dxa"/>
            </w:tcMar>
          </w:tcPr>
          <w:p>
            <w:pPr>
              <w:spacing w:after="0"/>
            </w:pPr>
            <w:r/>
            <w:r>
              <w:rPr>
                <w:rFonts w:ascii="Calibri" w:hAnsi="Calibri" w:eastAsia="Yu Gothic"/>
                <w:b w:val="0"/>
                <w:sz w:val="18"/>
              </w:rPr>
              <w:t>家族同席、複数日確認、販売見送りを含めて管理者が判断する。</w:t>
            </w:r>
          </w:p>
        </w:tc>
      </w:tr>
      <w:tr>
        <w:tc>
          <w:tcPr>
            <w:tcW w:type="dxa" w:w="3240"/>
            <w:vAlign w:val="center"/>
            <w:tcMar>
              <w:top w:w="80" w:type="dxa"/>
              <w:start w:w="120" w:type="dxa"/>
              <w:bottom w:w="80" w:type="dxa"/>
              <w:end w:w="120" w:type="dxa"/>
            </w:tcMar>
          </w:tcPr>
          <w:p>
            <w:pPr>
              <w:spacing w:after="0"/>
            </w:pPr>
            <w:r/>
            <w:r>
              <w:rPr>
                <w:rFonts w:ascii="Calibri" w:hAnsi="Calibri" w:eastAsia="Yu Gothic"/>
                <w:b w:val="0"/>
                <w:sz w:val="18"/>
              </w:rPr>
              <w:t>同一キャンペーンで申込不備と問い合わせが急増している。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販売停止検討</w:t>
            </w:r>
          </w:p>
        </w:tc>
        <w:tc>
          <w:tcPr>
            <w:tcW w:type="dxa" w:w="4680"/>
            <w:vAlign w:val="center"/>
            <w:tcMar>
              <w:top w:w="80" w:type="dxa"/>
              <w:start w:w="120" w:type="dxa"/>
              <w:bottom w:w="80" w:type="dxa"/>
              <w:end w:w="120" w:type="dxa"/>
            </w:tcMar>
          </w:tcPr>
          <w:p>
            <w:pPr>
              <w:spacing w:after="0"/>
            </w:pPr>
            <w:r/>
            <w:r>
              <w:rPr>
                <w:rFonts w:ascii="Calibri" w:hAnsi="Calibri" w:eastAsia="Yu Gothic"/>
                <w:b w:val="0"/>
                <w:sz w:val="18"/>
              </w:rPr>
              <w:t>導線、広告表現、FAQ、コールセンター回答を横断確認し、必要に応じ新規流入を停止する。</w:t>
            </w:r>
          </w:p>
        </w:tc>
      </w:tr>
    </w:tbl>
    <w:p/>
    <w:p>
      <w:pPr>
        <w:pStyle w:val="Heading1"/>
      </w:pPr>
      <w:r>
        <w:rPr>
          <w:rFonts w:ascii="Calibri" w:hAnsi="Calibri" w:eastAsia="Yu Gothic"/>
          <w:color w:val="2E74B5"/>
        </w:rPr>
        <w:t>補足. 管理者チェック観点</w:t>
      </w:r>
    </w:p>
    <w:p>
      <w:pPr>
        <w:pStyle w:val="ListBullet"/>
        <w:spacing w:after="60"/>
      </w:pPr>
      <w:r>
        <w:rPr>
          <w:rFonts w:ascii="Calibri" w:hAnsi="Calibri" w:eastAsia="Yu Gothic"/>
          <w:sz w:val="21"/>
        </w:rPr>
        <w:t>対面、電話、オンライン面談で想定される顧客接点が、文書上の対象チャネルと実際の運用で一致しているか確認する。</w:t>
      </w:r>
    </w:p>
    <w:p>
      <w:pPr>
        <w:pStyle w:val="ListBullet"/>
        <w:spacing w:after="60"/>
      </w:pPr>
      <w:r>
        <w:rPr>
          <w:rFonts w:ascii="Calibri" w:hAnsi="Calibri" w:eastAsia="Yu Gothic"/>
          <w:sz w:val="21"/>
        </w:rPr>
        <w:t>投資、保険、ローンに固有の説明事項、販売制限、資格要件、顧客属性条件が最新であるか確認する。</w:t>
      </w:r>
    </w:p>
    <w:p>
      <w:pPr>
        <w:pStyle w:val="ListBullet"/>
        <w:spacing w:after="60"/>
      </w:pPr>
      <w:r>
        <w:rPr>
          <w:rFonts w:ascii="Calibri" w:hAnsi="Calibri" w:eastAsia="Yu Gothic"/>
          <w:sz w:val="21"/>
        </w:rPr>
        <w:t>販売担当者の説明記録が、広告表示、商品説明資料、FAQ、契約書面と矛盾していないか確認する。</w:t>
      </w:r>
    </w:p>
    <w:p>
      <w:pPr>
        <w:pStyle w:val="ListBullet"/>
        <w:spacing w:after="60"/>
      </w:pPr>
      <w:r>
        <w:rPr>
          <w:rFonts w:ascii="Calibri" w:hAnsi="Calibri" w:eastAsia="Yu Gothic"/>
          <w:sz w:val="21"/>
        </w:rPr>
        <w:t>顧客からの質問、迷い、不満、家族相談希望が、販売可否判断に反映されているか確認する。</w:t>
      </w:r>
    </w:p>
    <w:p>
      <w:pPr>
        <w:pStyle w:val="ListBullet"/>
        <w:spacing w:after="60"/>
      </w:pPr>
      <w:r>
        <w:rPr>
          <w:rFonts w:ascii="Calibri" w:hAnsi="Calibri" w:eastAsia="Yu Gothic"/>
          <w:sz w:val="21"/>
        </w:rPr>
        <w:t>月次KPI/KRIの悪化が、担当者個人の問題、資料不備、導線設計、商品条件、委託先運用のどこに起因するかを切り分ける。</w:t>
      </w:r>
    </w:p>
    <w:p>
      <w:pPr>
        <w:pStyle w:val="Heading1"/>
      </w:pPr>
      <w:r>
        <w:rPr>
          <w:rFonts w:ascii="Calibri" w:hAnsi="Calibri" w:eastAsia="Yu Gothic"/>
          <w:color w:val="2E74B5"/>
        </w:rPr>
        <w:t>補足. 不備検出時の是正分類</w:t>
      </w:r>
    </w:p>
    <w:p>
      <w:pPr>
        <w:spacing w:after="120" w:line="300" w:lineRule="auto"/>
      </w:pPr>
      <w:r>
        <w:rPr>
          <w:rFonts w:ascii="Calibri" w:hAnsi="Calibri" w:eastAsia="Yu Gothic"/>
          <w:sz w:val="21"/>
        </w:rPr>
        <w:t>販売不備を検出した場合は、個別案件の修正だけで完了させず、同種不備が再発する構造を確認する。是正分類は、担当者教育、説明資料、画面導線、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顧客意向、経験、資産状況、返済能力の確認不足。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同意ログ、資料版数、録音ID、申込差戻し理由が検索できない。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LP、アプリ画面、バナー、メールの表示条件が説明資料と不一致。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例外承認が口頭処理、期限超過、同種不備の放置。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 教育・委託先・監査対応</w:t>
      </w:r>
    </w:p>
    <w:p>
      <w:pPr>
        <w:spacing w:after="120" w:line="300" w:lineRule="auto"/>
      </w:pPr>
      <w:r>
        <w:rPr>
          <w:rFonts w:ascii="Calibri" w:hAnsi="Calibri" w:eastAsia="Yu Gothic"/>
          <w:sz w:val="21"/>
        </w:rPr>
        <w:t>主管部署は、本書の内容を販売担当者、管理者、代理店、委託先に周知し、商品改定、法令改正、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新任担当者は、販売開始前に商品別研修、顧客説明研修、個人情報・AML/CFT研修を完了する。</w:t>
      </w:r>
    </w:p>
    <w:p>
      <w:pPr>
        <w:pStyle w:val="ListBullet"/>
        <w:spacing w:after="60"/>
      </w:pPr>
      <w:r>
        <w:rPr>
          <w:rFonts w:ascii="Calibri" w:hAnsi="Calibri" w:eastAsia="Yu Gothic"/>
          <w:sz w:val="21"/>
        </w:rPr>
        <w:t>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委託先の販売品質は、月次件数だけでなく、録音、チャット、申込不備、苦情、説明補足のサンプルで確認する。</w:t>
      </w:r>
    </w:p>
    <w:p>
      <w:pPr>
        <w:pStyle w:val="ListBullet"/>
        <w:spacing w:after="60"/>
      </w:pPr>
      <w:r>
        <w:rPr>
          <w:rFonts w:ascii="Calibri" w:hAnsi="Calibri" w:eastAsia="Yu Gothic"/>
          <w:sz w:val="21"/>
        </w:rPr>
        <w:t>監査対応資料は、加工済み集計表だけでなく、元証跡へ戻れる検索キーを添付する。</w:t>
      </w:r>
    </w:p>
    <w:p>
      <w:pPr>
        <w:pStyle w:val="Heading1"/>
      </w:pPr>
      <w:r>
        <w:rPr>
          <w:rFonts w:ascii="Calibri" w:hAnsi="Calibri" w:eastAsia="Yu Gothic"/>
          <w:color w:val="2E74B5"/>
        </w:rPr>
        <w:t>9. 例外・エスカレーション</w:t>
      </w:r>
    </w:p>
    <w:p>
      <w:pPr>
        <w:spacing w:after="120" w:line="300" w:lineRule="auto"/>
      </w:pPr>
      <w:r>
        <w:rPr>
          <w:rFonts w:ascii="Calibri" w:hAnsi="Calibri" w:eastAsia="Yu Gothic"/>
          <w:sz w:val="21"/>
        </w:rPr>
        <w:t>例外処理は、顧客利便性を理由に証跡、説明、同意、承認を省略するための手段ではない。販売担当者は、例外の発生理由、顧客影響、代替手段、再発防止の要否を記録し、販売管理者へ報告する。金銭影響、個人情報影響、苦情化、複数顧客への波及、法令違反疑義がある場合は、同日中に第二線へ報告する。</w:t>
      </w:r>
    </w:p>
    <w:p>
      <w:pPr>
        <w:pStyle w:val="Heading1"/>
      </w:pPr>
      <w:r>
        <w:rPr>
          <w:rFonts w:ascii="Calibri" w:hAnsi="Calibri" w:eastAsia="Yu Gothic"/>
          <w:color w:val="2E74B5"/>
        </w:rPr>
        <w:t>10. 関連文書</w:t>
      </w:r>
    </w:p>
    <w:p>
      <w:pPr>
        <w:pStyle w:val="ListBullet"/>
        <w:spacing w:after="60"/>
      </w:pPr>
      <w:r>
        <w:rPr>
          <w:rFonts w:ascii="Calibri" w:hAnsi="Calibri" w:eastAsia="Yu Gothic"/>
          <w:sz w:val="21"/>
        </w:rPr>
        <w:t>DFH-CUS-014 高齢者・脆弱顧客対応マニュアル</w:t>
      </w:r>
    </w:p>
    <w:p>
      <w:pPr>
        <w:pStyle w:val="ListBullet"/>
        <w:spacing w:after="60"/>
      </w:pPr>
      <w:r>
        <w:rPr>
          <w:rFonts w:ascii="Calibri" w:hAnsi="Calibri" w:eastAsia="Yu Gothic"/>
          <w:sz w:val="21"/>
        </w:rPr>
        <w:t>DFH-INS-005 乗換募集・高齢者募集管理基準</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11. 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1.0</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2026-07-01</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初版制定。販売プロセス専用文書群として作成。</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DFH-SAL-021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