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DFH-SAL-003 販売チャネル管理規程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DFH-SAL-003</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販売チャネル管理規程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ダミーチャネル戦略部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アプリ、Web、コールセンター、対面、代理店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チャネルごとの販売可能業務、禁止事項、品質管理を定義する。販売統制に関する最低統制を定め、全販売チャネルにおける販売判断が担当者の経験則や販売目標だけで行われることを防止する。販売チャネル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販売チャネルでは、規程逸脱、販売停止提案、例外承認が同時に発生しやすい。ダミーチャネル戦略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アプリ、Web、コールセンター、対面、代理店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全販売チャネル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販売チャネルに関する企画、受付、顧客説明、申込、承認、証跡保存、苦情初動、販売品質点検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販売チャネルの販売判断は、顧客の理解、意向、属性、既存契約、リスクまたは返済負担を確認したうえで行う。</w:t>
      </w:r>
    </w:p>
    <w:p>
      <w:pPr>
        <w:pStyle w:val="ListBullet"/>
        <w:spacing w:after="60"/>
      </w:pPr>
      <w:r>
        <w:rPr>
          <w:rFonts w:ascii="Calibri" w:hAnsi="Calibri" w:eastAsia="Yu Gothic"/>
          <w:sz w:val="21"/>
        </w:rPr>
        <w:t>全販売チャネルで顧客に提示した条件は、契約前説明、FAQ、顧客接点部門の回答、販売後フォローと矛盾してはならない。</w:t>
      </w:r>
    </w:p>
    <w:p>
      <w:pPr>
        <w:pStyle w:val="ListBullet"/>
        <w:spacing w:after="60"/>
      </w:pPr>
      <w:r>
        <w:rPr>
          <w:rFonts w:ascii="Calibri" w:hAnsi="Calibri" w:eastAsia="Yu Gothic"/>
          <w:sz w:val="21"/>
        </w:rPr>
        <w:t>販売チャネル対象商品について、審査通過、収益、補償、特典、返金、税務効果など未確定事項を断定してはならない。</w:t>
      </w:r>
    </w:p>
    <w:p>
      <w:pPr>
        <w:pStyle w:val="ListBullet"/>
        <w:spacing w:after="60"/>
      </w:pPr>
      <w:r>
        <w:rPr>
          <w:rFonts w:ascii="Calibri" w:hAnsi="Calibri" w:eastAsia="Yu Gothic"/>
          <w:sz w:val="21"/>
        </w:rPr>
        <w:t>ダミーチャネル戦略部は、販売件数だけでなく、説明補足率、申込不備率、苦情転化率、証跡欠落率を併せて評価する。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販売チャネルの受付、説明、顧客確認、申込連携、販売後フォローを実施し、判断根拠を顧客単位で記録する。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ダミーチャネル戦略部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販売チャネル対象商品に関する販売対象、説明事項、停止条件、商品改定時の影響を管理する。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販売チャネルの統制設計と運用状況を、抽出条件を明示したサンプルで独立評価する。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ダミーチャネル戦略部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販売チャネルの対象案件を受け付け、対象商品、対象チャネル、顧客影響、利用予定資料の版数を確認する。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販売チャネル対象商品に関する顧客属性、既存契約、過去の問い合わせ、販売制限、同意状況を確認する。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チャネルごとの販売可能業務、禁止事項、品質管理を定義する。説明順序、禁止表現、追加確認の要否を判断し、顧客の質問を残す。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ダミーチャネル戦略部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全販売チャネルで発生した不備、顧客反応、改善要望を商品主管、顧客接点、第二線へ引き継ぐ。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販売チャネルのKPI/KRI、苦情、申込不備、説明補足、例外承認の傾向を評価する。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販売チャネルの処理で、顧客説明より販売件数やキャンペーン期限が優先されている。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全販売チャネルの応対履歴と申込ログに食い違いがあり、担当部署の責任範囲が不明確である。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販売チャネル対象商品に固有の説明事項または資格要件が、資料、画面、応対スクリプトで一致していない。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ダミーチャネル戦略部の判断が口頭またはメール断片で残り、後日検索できない。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販売チャネルに起因する不備が単発処理として扱われ、同一導線・同一商品への波及確認が行われていない。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販売チャネルの標準手順に従い、必要証跡を保存する。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販売チャネル対象商品の条件または顧客質問に対する追加説明を実施し、顧客確認を記録する。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全販売チャネルまたは販売チャネル対象商品で同種不備が継続する場合、対象範囲と暫定告知を整理する。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販売チャネルの受付、判断、承認、差戻しの時系列を確認するための主証跡。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DFH-SAL-003、顧客ID、申込ID、商品ID、担当者ID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全販売チャネルで顧客に提示した説明内容と、顧客が確認した時点を示す証跡。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販売チャネル対象商品に関する例外、追加説明、販売見送り、第二線照会の判断根拠。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ダミーチャネル戦略部から後続部署へ引き継いだ課題、改善要望、期限、完了確認。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販売チャネルの運用状況を、KPI/KRI、苦情、申込不備、担当者別ばらつきで振り返る記録。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チャネル管理規程の運用では、規程逸脱を単発処理として閉じず、販売停止提案、例外承認、主管部署間の判断相違までを同じ管理単位で追跡する。日次確認は全販売チャネルの滞留と顧客連絡漏れを防ぐための統制であり、月次確認は販売チャネル対象商品の説明資料、画面、研修、委託先管理を見直すための統制である。販売チャネル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販売チャネルの未完了、顧客回答待ち、説明補足、同意未取得、申込不備を確認する。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ダミーチャネル戦略部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全販売チャネルの進捗、表示・導線の不備、担当者別ばらつき、後続部署への滞留を確認する。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販売チャネル対象商品のKPI/KRI、販売苦情、説明不備、証跡欠落、サンプル点検結果を確認する。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販売チャネルの制度設計、教育状況、規程改定要否、第二線指摘の完了状況を確認する。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チャネルの証跡は、後日の苦情、監査、当局照会、システム障害時の顧客影響調査に耐える粒度で保存する。単に「販売チャネル管理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DFH-SAL-003、顧客ID、申込ID、商品ID、担当者ID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販売チャネルの受付、判断、承認、差戻しの時系列を確認するための主証跡。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全販売チャネルで顧客に提示した説明内容と、顧客が確認した時点を示す証跡。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販売チャネル対象商品に関する例外、追加説明、販売見送り、第二線照会の判断根拠。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ダミーチャネル戦略部から後続部署へ引き継いだ課題、改善要望、期限、完了確認。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販売チャネルの運用状況を、KPI/KRI、苦情、申込不備、担当者別ばらつきで振り返る記録。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全販売チャネルで顧客が『急いで申し込みたい』と申し出た。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販売チャネルでは手続速度より理解確認を優先する。期限、取消可否、不利益事項を再説明し、急がせる表現を避ける。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販売チャネル対象商品の説明資料と広告表示の条件が一致しない。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ダミーチャネル戦略部への引継ぎ後、顧客から同じ質問が再度寄せられた。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全販売チャネルで想定される顧客接点が、文書上の対象チャネルと実際の運用で一致しているか確認する。</w:t>
      </w:r>
    </w:p>
    <w:p>
      <w:pPr>
        <w:pStyle w:val="ListBullet"/>
        <w:spacing w:after="60"/>
      </w:pPr>
      <w:r>
        <w:rPr>
          <w:rFonts w:ascii="Calibri" w:hAnsi="Calibri" w:eastAsia="Yu Gothic"/>
          <w:sz w:val="21"/>
        </w:rPr>
        <w:t>販売チャネル対象商品に固有の説明事項、販売制限、資格要件、顧客属性条件が最新であるか確認する。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顧客からの質問、迷い、不満、家族相談希望が、販売チャネルの販売可否判断に反映されているか確認する。</w:t>
      </w:r>
    </w:p>
    <w:p>
      <w:pPr>
        <w:pStyle w:val="ListBullet"/>
        <w:spacing w:after="60"/>
      </w:pPr>
      <w:r>
        <w:rPr>
          <w:rFonts w:ascii="Calibri" w:hAnsi="Calibri" w:eastAsia="Yu Gothic"/>
          <w:sz w:val="21"/>
        </w:rPr>
        <w:t>月次KPI/KRIの悪化が、担当者個人の問題、資料不備、全販売チャネルの導線設計、販売チャネル対象商品の商品条件、委託先運用のどこに起因するかを切り分ける。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チャネルの不備を検出した場合は、個別案件の修正だけで完了させず、同種不備が再発する構造を確認する。是正分類は、担当者教育、説明資料、全販売チャネルの画面・応対導線、販売チャネル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販売チャネル対象商品の費用、リスク、取消条件、特典条件の一部説明漏れ。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販売チャネルで必要な顧客意向、経験、資産状況、返済能力または加入目的の確認不足。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全販売チャネルの表示条件、FAQ、説明資料、申込画面が不一致。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チャネル戦略部は、本書の内容を販売担当者、管理者、代理店、委託先に周知し、販売チャネル対象商品の商品改定、法令改正、全販売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チャネル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新任担当者は、販売チャネル対象商品の販売開始前に商品別研修、顧客説明研修、個人情報・AML/CFT研修を完了する。</w:t>
      </w:r>
    </w:p>
    <w:p>
      <w:pPr>
        <w:pStyle w:val="ListBullet"/>
        <w:spacing w:after="60"/>
      </w:pPr>
      <w:r>
        <w:rPr>
          <w:rFonts w:ascii="Calibri" w:hAnsi="Calibri" w:eastAsia="Yu Gothic"/>
          <w:sz w:val="21"/>
        </w:rPr>
        <w:t>販売チャネルの販売権限は、研修受講、理解度テスト、ロールプレイ評価、管理者承認を満たした担当者に限定する。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委託先の販売品質は、月次件数だけでなく、全販売チャネルの録音、チャット、申込不備、苦情、説明補足のサンプルで確認する。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販売チャネル対象商品に関する顧客説明は、商品主管の正本、広告審査済み表現、FAQ、顧客接点部門の回答を同じ条件にそろえることから始まる。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規程逸脱が起点となる案件では、誰が正本を更新し、誰が全販売チャネル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チャネル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チャネル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全販売チャネル上の表示変更要否、ダミーチャネル戦略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チャネルは契約成立または申込受付で終わらない。販売後の問い合わせ、初回利用停滞、早期解約、不満申出は、販売時の説明、適合性確認、同意取得、資料表示に戻して原因を確認する。販売チャネル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チャネルの件数や処理期限だけを見ると、販売品質の悪化を見落とす。販売目標偏重、第二線確認の形骸化、証跡欠落、説明補足、販売見送り、早期解約を同じ案件群で突合し、全販売チャネル固有の問題なのか、販売チャネル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アプリ、Web、電話、対面、代理店で販売できる行為の境界を具体的に定義する。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ダミーチャネル戦略部が月次点検で確認し、必要に応じて販売停止提案または例外承認へ接続する。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チャネル追加時には広告審査だけでなく、本人確認、同意取得、ログ保存の可否を確認する。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ダミーチャネル戦略部が月次点検で確認し、必要に応じて販売停止提案または例外承認へ接続する。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外部チャネルの説明品質を自社チャネルと同じ粒度で点検する。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ダミーチャネル戦略部が月次点検で確認し、必要に応じて販売停止提案または例外承認へ接続する。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チャネル別KRIを比較し、特定導線だけの申込不備や苦情増加を検知する。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ダミーチャネル戦略部が月次点検で確認し、必要に応じて販売停止提案または例外承認へ接続する。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販売チャネルの受付から完了までを一意に追跡するID。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販売チャネル対象商品の説明資料、FAQ、広告表示、画面文言の版数。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全販売チャネルで取得した理解確認、意向、質問、不安、家族相談希望。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販売チャネル後の初回利用、問い合わせ、説明補足、解約兆候、苦情分類。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顧客が販売チャネル対象商品のメリットだけを聞き、リスク説明を急いで終わらせたいと言った場合はどうするか。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全販売チャネルで説明した内容とFAQの回答が違うことに気付いた場合はどうするか。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販売チャネルの証跡が一部欠落しているが、顧客が同意していると言っている場合はどうするか。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販売後に販売チャネル対象商品について苦情が出た場合、販売担当者だけで回答してよいか。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チャネルにおける例外処理は、顧客利便性を理由に証跡、説明、同意、承認を省略するための手段ではない。販売担当者は、例外承認の発生理由、販売チャネル対象商品への顧客影響、代替手段、再発防止の要否を記録し、販売管理者へ報告する。金銭影響、個人情報影響、苦情化、全販売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ダミーチャネル戦略部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販売チャネルの通常手順では判断できない例外、期限超過、部門間判断相違がある。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販売チャネル対象商品に関する法令違反疑義、無資格販売、利益相反説明不足がある。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全販売チャネルで広範な顧客影響、システム障害、誤表示、個人情報影響がある。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DFH-COM-004 サービス一覧・顧客チャネル設定</w:t>
      </w:r>
    </w:p>
    <w:p>
      <w:pPr>
        <w:pStyle w:val="ListBullet"/>
        <w:spacing w:after="60"/>
      </w:pPr>
      <w:r>
        <w:rPr>
          <w:rFonts w:ascii="Calibri" w:hAnsi="Calibri" w:eastAsia="Yu Gothic"/>
          <w:sz w:val="21"/>
        </w:rPr>
        <w:t>DFH-CUS-013 Web・アプリ画面表示レビュー基準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実務検証用に、販売チャネルの手順、判断基準、証跡、KPI、現場事例を具体化。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DFH-SAL-003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