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DFH-SAL-004 非対面販売管理規程</w:t>
      </w:r>
    </w:p>
    <w:p>
      <w:pPr>
        <w:spacing w:after="240"/>
      </w:pPr>
      <w:r>
        <w:rPr>
          <w:rFonts w:ascii="Calibri" w:hAnsi="Calibri" w:eastAsia="Yu Gothic"/>
          <w:color w:val="57606A"/>
          <w:sz w:val="20"/>
        </w:rPr>
        <w:t>規程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DFH-SAL-004</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非対面販売管理規程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アプリ、Web、オンライン面談、チャット</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目的</w:t>
      </w:r>
    </w:p>
    <w:p>
      <w:pPr>
        <w:spacing w:after="120" w:line="300" w:lineRule="auto"/>
      </w:pPr>
      <w:r>
        <w:rPr>
          <w:rFonts w:ascii="Calibri" w:hAnsi="Calibri" w:eastAsia="Yu Gothic"/>
          <w:sz w:val="21"/>
        </w:rPr>
        <w:t>本規程は、非対面での本人確認、説明、同意取得、記録保存を定義する。販売統制に関する最低統制を定め、非対面における販売判断が担当者の経験則や販売目標だけで行われることを防止する。非対面販売対象商品に関する説明、承認、記録、停止判断は、顧客保護、法令等遵守、利益相反管理、証跡保存の四つの観点で検証できなければならない。本規程は、現場判断を停止させるための文書ではなく、判断の根拠、責任部署、顧客影響、再発防止を後日説明できる状態にするための統制文書である。</w:t>
      </w:r>
    </w:p>
    <w:p>
      <w:pPr>
        <w:spacing w:after="120" w:line="300" w:lineRule="auto"/>
      </w:pPr>
      <w:r>
        <w:rPr>
          <w:rFonts w:ascii="Calibri" w:hAnsi="Calibri" w:eastAsia="Yu Gothic"/>
          <w:sz w:val="21"/>
        </w:rPr>
        <w:t>特に非対面販売では、規程逸脱、販売停止提案、例外承認が同時に発生しやすい。ダミーデジタル販売管理部は、第一線の実務負荷と第二線の確認要求を分離せず、販売前の設計、販売中の検知、販売後のモニタリングが一つの管理サイクルとして回るように本規程を運用する。</w:t>
      </w:r>
    </w:p>
    <w:p>
      <w:pPr>
        <w:pStyle w:val="Heading1"/>
      </w:pPr>
      <w:r>
        <w:rPr>
          <w:rFonts w:ascii="Calibri" w:hAnsi="Calibri" w:eastAsia="Yu Gothic"/>
          <w:color w:val="2E74B5"/>
        </w:rPr>
        <w:t>2. 適用範囲</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対象会社</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アプリ、Web、オンライン面談、チャット</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非対面</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対象行為</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非対面販売に関する企画、受付、顧客説明、申込、承認、証跡保存、苦情初動、販売品質点検</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主要システム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ダミー販売管理ワークフロー、ダミー会議体ポータル、ダミー規程管理台帳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適用除外</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既存契約の単純照会、住所変更、資料再送など販売提案を伴わない事務。ただし、回答の過程で追加提案、条件変更、乗換、申込誘導が発生する場合は本規程を適用する。</w:t>
            </w:r>
          </w:p>
        </w:tc>
      </w:tr>
    </w:tbl>
    <w:p/>
    <w:p>
      <w:pPr>
        <w:pStyle w:val="Heading1"/>
      </w:pPr>
      <w:r>
        <w:rPr>
          <w:rFonts w:ascii="Calibri" w:hAnsi="Calibri" w:eastAsia="Yu Gothic"/>
          <w:color w:val="2E74B5"/>
        </w:rPr>
        <w:t>3. 基本原則</w:t>
      </w:r>
    </w:p>
    <w:p>
      <w:pPr>
        <w:pStyle w:val="ListBullet"/>
        <w:spacing w:after="60"/>
      </w:pPr>
      <w:r>
        <w:rPr>
          <w:rFonts w:ascii="Calibri" w:hAnsi="Calibri" w:eastAsia="Yu Gothic"/>
          <w:sz w:val="21"/>
        </w:rPr>
        <w:t>非対面販売の販売判断は、顧客の理解、意向、属性、既存契約、リスクまたは返済負担を確認したうえで行う。</w:t>
      </w:r>
    </w:p>
    <w:p>
      <w:pPr>
        <w:pStyle w:val="ListBullet"/>
        <w:spacing w:after="60"/>
      </w:pPr>
      <w:r>
        <w:rPr>
          <w:rFonts w:ascii="Calibri" w:hAnsi="Calibri" w:eastAsia="Yu Gothic"/>
          <w:sz w:val="21"/>
        </w:rPr>
        <w:t>非対面で顧客に提示した条件は、契約前説明、FAQ、顧客接点部門の回答、販売後フォローと矛盾してはならない。</w:t>
      </w:r>
    </w:p>
    <w:p>
      <w:pPr>
        <w:pStyle w:val="ListBullet"/>
        <w:spacing w:after="60"/>
      </w:pPr>
      <w:r>
        <w:rPr>
          <w:rFonts w:ascii="Calibri" w:hAnsi="Calibri" w:eastAsia="Yu Gothic"/>
          <w:sz w:val="21"/>
        </w:rPr>
        <w:t>非対面販売対象商品について、審査通過、収益、補償、特典、返金、税務効果など未確定事項を断定してはならない。</w:t>
      </w:r>
    </w:p>
    <w:p>
      <w:pPr>
        <w:pStyle w:val="ListBullet"/>
        <w:spacing w:after="60"/>
      </w:pPr>
      <w:r>
        <w:rPr>
          <w:rFonts w:ascii="Calibri" w:hAnsi="Calibri" w:eastAsia="Yu Gothic"/>
          <w:sz w:val="21"/>
        </w:rPr>
        <w:t>ダミーデジタル販売管理部は、販売件数だけでなく、説明補足率、申込不備率、苦情転化率、証跡欠落率を併せて評価する。</w:t>
      </w:r>
    </w:p>
    <w:p>
      <w:pPr>
        <w:pStyle w:val="ListBullet"/>
        <w:spacing w:after="60"/>
      </w:pPr>
      <w:r>
        <w:rPr>
          <w:rFonts w:ascii="Calibri" w:hAnsi="Calibri" w:eastAsia="Yu Gothic"/>
          <w:sz w:val="21"/>
        </w:rPr>
        <w:t>販売目標偏重または第二線確認の形骸化が疑われる場合は、販売継続よりも保留、追加説明、第二線照会、販売見送りを優先する。</w:t>
      </w:r>
    </w:p>
    <w:p>
      <w:pPr>
        <w:pStyle w:val="Heading1"/>
      </w:pPr>
      <w:r>
        <w:rPr>
          <w:rFonts w:ascii="Calibri" w:hAnsi="Calibri" w:eastAsia="Yu Gothic"/>
          <w:color w:val="2E74B5"/>
        </w:rPr>
        <w:t>4. 役割と責任</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役割</w:t>
            </w:r>
          </w:p>
        </w:tc>
        <w:tc>
          <w:tcPr>
            <w:tcW w:type="dxa" w:w="5184"/>
            <w:vAlign w:val="center"/>
            <w:shd w:fill="E8EEF5"/>
            <w:tcMar>
              <w:top w:w="80" w:type="dxa"/>
              <w:start w:w="120" w:type="dxa"/>
              <w:bottom w:w="80" w:type="dxa"/>
              <w:end w:w="120" w:type="dxa"/>
            </w:tcMar>
          </w:tcPr>
          <w:p>
            <w:pPr>
              <w:spacing w:after="0"/>
            </w:pPr>
            <w:r/>
            <w:r>
              <w:rPr>
                <w:rFonts w:ascii="Calibri" w:hAnsi="Calibri" w:eastAsia="Yu Gothic"/>
                <w:b/>
                <w:sz w:val="18"/>
              </w:rPr>
              <w:t>主な責任</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第一線販売部門</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非対面販売の受付、説明、顧客確認、申込連携、販売後フォローを実施し、判断根拠を顧客単位で記録する。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商談記録、説明チェック、同意ログ、申込記録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販売停止提案、例外承認、差戻し、苦情化懸念、教育状況を確認する。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承認ログ、例外承認申請、指導記録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第二線管理部署</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販売目標偏重、第二線確認の形骸化、KPI/KRI悪化、顧客影響をモニタリングし、改善を要求する。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月次点検表、指摘管理表、改善計画</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非対面販売対象商品に関する販売対象、説明事項、停止条件、商品改定時の影響を管理する。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商品別説明事項一覧、改定通知</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内部監査部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非対面販売の統制設計と運用状況を、抽出条件を明示したサンプルで独立評価する。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監査調書、サンプル点検結果</w:t>
            </w:r>
          </w:p>
        </w:tc>
      </w:tr>
    </w:tbl>
    <w:p/>
    <w:p>
      <w:pPr>
        <w:pStyle w:val="Heading1"/>
      </w:pPr>
      <w:r>
        <w:rPr>
          <w:rFonts w:ascii="Calibri" w:hAnsi="Calibri" w:eastAsia="Yu Gothic"/>
          <w:color w:val="2E74B5"/>
        </w:rPr>
        <w:t>5. 統制ポイント</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非対面販売の対象案件を受け付け、対象商品、対象チャネル、顧客影響、利用予定資料の版数を確認する。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決裁ログ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非対面販売対象商品に関する顧客属性、既存契約、過去の問い合わせ、販売制限、同意状況を確認する。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非対面での本人確認、説明、同意取得、記録保存を定義する。説明順序、禁止表現、追加確認の要否を判断し、顧客の質問を残す。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ダミー規程管理台帳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販売停止提案または例外承認に該当する場合は、販売継続、保留、見送り、第二線照会を選択する。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非対面で発生した不備、顧客反応、改善要望を商品主管、顧客接点、第二線へ引き継ぐ。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非対面販売のKPI/KRI、苦情、申込不備、説明補足、例外承認の傾向を評価する。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6. 販売禁止・停止基準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リスク</w:t>
            </w:r>
          </w:p>
        </w:tc>
        <w:tc>
          <w:tcPr>
            <w:tcW w:type="dxa" w:w="3816"/>
            <w:vAlign w:val="center"/>
            <w:shd w:fill="E8EEF5"/>
            <w:tcMar>
              <w:top w:w="80" w:type="dxa"/>
              <w:start w:w="120" w:type="dxa"/>
              <w:bottom w:w="80" w:type="dxa"/>
              <w:end w:w="120" w:type="dxa"/>
            </w:tcMar>
          </w:tcPr>
          <w:p>
            <w:pPr>
              <w:spacing w:after="0"/>
            </w:pPr>
            <w:r/>
            <w:r>
              <w:rPr>
                <w:rFonts w:ascii="Calibri" w:hAnsi="Calibri" w:eastAsia="Yu Gothic"/>
                <w:b/>
                <w:sz w:val="18"/>
              </w:rPr>
              <w:t>検知例</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要求対応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販売目標偏重</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非対面販売の処理で、顧客説明より販売件数やキャンペーン期限が優先されている。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販売を保留し、管理者が説明記録と顧客反応を確認する。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責任分界の曖昧化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非対面の応対履歴と申込ログに食い違いがあり、担当部署の責任範囲が不明確である。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案件責任者を一名に定め、引継ぎ条件と完了条件を明記する。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第二線確認の形骸化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非対面販売対象商品に固有の説明事項または資格要件が、資料、画面、応対スクリプトで一致していない。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商品主管が正本を指定し、公開中の表示と説明資料を差し替える。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例外判断の属人化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ダミーデジタル販売管理部の判断が口頭またはメール断片で残り、後日検索できない。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承認ワークフローへ登録し、顧客影響、代替案、再発防止を追記する。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顧客影響の過小評価</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非対面販売に起因する不備が単発処理として扱われ、同一導線・同一商品への波及確認が行われていない。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対象期間、対象チャネル、対象商品を区切って再点検し、必要に応じ販売停止を提案する。</w:t>
            </w:r>
          </w:p>
        </w:tc>
      </w:tr>
    </w:tbl>
    <w:p/>
    <w:p>
      <w:pPr>
        <w:pStyle w:val="Heading1"/>
      </w:pPr>
      <w:r>
        <w:rPr>
          <w:rFonts w:ascii="Calibri" w:hAnsi="Calibri" w:eastAsia="Yu Gothic"/>
          <w:color w:val="2E74B5"/>
        </w:rPr>
        <w:t>7. 承認と報告</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016"/>
            <w:vAlign w:val="center"/>
            <w:shd w:fill="E8EEF5"/>
            <w:tcMar>
              <w:top w:w="80" w:type="dxa"/>
              <w:start w:w="120" w:type="dxa"/>
              <w:bottom w:w="80" w:type="dxa"/>
              <w:end w:w="120" w:type="dxa"/>
            </w:tcMar>
          </w:tcPr>
          <w:p>
            <w:pPr>
              <w:spacing w:after="0"/>
            </w:pPr>
            <w:r/>
            <w:r>
              <w:rPr>
                <w:rFonts w:ascii="Calibri" w:hAnsi="Calibri" w:eastAsia="Yu Gothic"/>
                <w:b/>
                <w:sz w:val="18"/>
              </w:rPr>
              <w:t>事象</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報告期限</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通常運用</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非対面販売の標準手順に従い、必要証跡を保存する。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月次集計</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軽微な説明補足</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非対面販売対象商品の条件または顧客質問に対する追加説明を実施し、顧客確認を記録する。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翌営業日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例外承認</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例外承認の理由、顧客影響、代替案、追加統制を整理する。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主管部長および第二線</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同日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販売停止提案</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非対面または非対面販売対象商品で同種不備が継続する場合、対象範囲と暫定告知を整理する。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販売統括役員</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重大不備</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第二線確認の形骸化または広範な顧客影響が疑われる場合、危機管理手順へ接続する。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経営会議または対策本部</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bl>
    <w:p/>
    <w:p>
      <w:pPr>
        <w:pStyle w:val="Heading1"/>
      </w:pPr>
      <w:r>
        <w:rPr>
          <w:rFonts w:ascii="Calibri" w:hAnsi="Calibri" w:eastAsia="Yu Gothic"/>
          <w:color w:val="2E74B5"/>
        </w:rPr>
        <w:t>8. 記録保存要件</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非対面販売の受付、判断、承認、差戻しの時系列を確認するための主証跡。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DFH-SAL-004、顧客ID、申込ID、商品ID、担当者ID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非対面で顧客に提示した説明内容と、顧客が確認した時点を示す証跡。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非対面販売対象商品に関する例外、追加説明、販売見送り、第二線照会の判断根拠。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非対面販売の運用状況を、KPI/KRI、苦情、申込不備、担当者別ばらつきで振り返る記録。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非対面販売管理規程の運用では、規程逸脱を単発処理として閉じず、販売停止提案、例外承認、主管部署間の判断相違までを同じ管理単位で追跡する。日次確認は非対面の滞留と顧客連絡漏れを防ぐための統制であり、月次確認は非対面販売対象商品の説明資料、画面、研修、委託先管理を見直すための統制である。非対面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非対面販売の未完了、顧客回答待ち、説明補足、同意未取得、申込不備を確認する。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決裁ログ、CRMステータス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非対面の進捗、表示・導線の不備、担当者別ばらつき、後続部署への滞留を確認する。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非対面販売対象商品のKPI/KRI、販売苦情、説明不備、証跡欠落、サンプル点検結果を確認する。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非対面販売の制度設計、教育状況、規程改定要否、第二線指摘の完了状況を確認する。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非対面販売の証跡は、後日の苦情、監査、当局照会、システム障害時の顧客影響調査に耐える粒度で保存する。単に「非対面販売管理規程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DFH-SAL-004、顧客ID、申込ID、商品ID、担当者ID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非対面販売対象商品に関する例外、追加説明、販売見送り、第二線照会の判断根拠。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非対面で顧客が『急いで申し込みたい』と申し出た。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非対面販売では手続速度より理解確認を優先する。期限、取消可否、不利益事項を再説明し、急がせる表現を避ける。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非対面販売対象商品の説明資料と広告表示の条件が一致しない。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非対面で想定される顧客接点が、文書上の対象チャネルと実際の運用で一致しているか確認する。</w:t>
      </w:r>
    </w:p>
    <w:p>
      <w:pPr>
        <w:pStyle w:val="ListBullet"/>
        <w:spacing w:after="60"/>
      </w:pPr>
      <w:r>
        <w:rPr>
          <w:rFonts w:ascii="Calibri" w:hAnsi="Calibri" w:eastAsia="Yu Gothic"/>
          <w:sz w:val="21"/>
        </w:rPr>
        <w:t>非対面販売対象商品に固有の説明事項、販売制限、資格要件、顧客属性条件が最新であるか確認する。</w:t>
      </w:r>
    </w:p>
    <w:p>
      <w:pPr>
        <w:pStyle w:val="ListBullet"/>
        <w:spacing w:after="60"/>
      </w:pPr>
      <w:r>
        <w:rPr>
          <w:rFonts w:ascii="Calibri" w:hAnsi="Calibri" w:eastAsia="Yu Gothic"/>
          <w:sz w:val="21"/>
        </w:rPr>
        <w:t>規程が現場手順、システム権限、会議体報告と接続しているかを確認する。</w:t>
      </w:r>
    </w:p>
    <w:p>
      <w:pPr>
        <w:pStyle w:val="ListBullet"/>
        <w:spacing w:after="60"/>
      </w:pPr>
      <w:r>
        <w:rPr>
          <w:rFonts w:ascii="Calibri" w:hAnsi="Calibri" w:eastAsia="Yu Gothic"/>
          <w:sz w:val="21"/>
        </w:rPr>
        <w:t>顧客からの質問、迷い、不満、家族相談希望が、非対面販売の販売可否判断に反映されているか確認する。</w:t>
      </w:r>
    </w:p>
    <w:p>
      <w:pPr>
        <w:pStyle w:val="ListBullet"/>
        <w:spacing w:after="60"/>
      </w:pPr>
      <w:r>
        <w:rPr>
          <w:rFonts w:ascii="Calibri" w:hAnsi="Calibri" w:eastAsia="Yu Gothic"/>
          <w:sz w:val="21"/>
        </w:rPr>
        <w:t>月次KPI/KRIの悪化が、担当者個人の問題、資料不備、非対面の導線設計、非対面販売対象商品の商品条件、委託先運用のどこに起因するかを切り分ける。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非対面販売の不備を検出した場合は、個別案件の修正だけで完了させず、同種不備が再発する構造を確認する。是正分類は、担当者教育、説明資料、非対面の画面・応対導線、非対面販売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非対面販売対象商品の費用、リスク、取消条件、特典条件の一部説明漏れ。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非対面販売で必要な顧客意向、経験、資産状況、返済能力または加入目的の確認不足。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決裁ログ、会議議事メモ、申込差戻し理由が検索できない。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非対面の表示条件、FAQ、説明資料、申込画面が不一致。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デジタル販売管理部は、本書の内容を販売担当者、管理者、代理店、委託先に周知し、非対面販売対象商品の商品改定、法令改正、非対面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非対面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新任担当者は、非対面販売対象商品の販売開始前に商品別研修、顧客説明研修、個人情報・AML/CFT研修を完了する。</w:t>
      </w:r>
    </w:p>
    <w:p>
      <w:pPr>
        <w:pStyle w:val="ListBullet"/>
        <w:spacing w:after="60"/>
      </w:pPr>
      <w:r>
        <w:rPr>
          <w:rFonts w:ascii="Calibri" w:hAnsi="Calibri" w:eastAsia="Yu Gothic"/>
          <w:sz w:val="21"/>
        </w:rPr>
        <w:t>非対面販売の販売権限は、研修受講、理解度テスト、ロールプレイ評価、管理者承認を満たした担当者に限定する。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委託先の販売品質は、月次件数だけでなく、非対面の録音、チャット、申込不備、苦情、説明補足のサンプルで確認する。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監査対応資料は、加工済み集計表だけでなく、決裁ログへ戻れる検索キーを添付する。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非対面販売を販売現場で運用する際は、顧客に見える説明と、社内で処理される承認・証跡・後続連携を分けて考える必要がある。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規程逸脱が起点となる案件では、誰が正本を更新し、誰が非対面へ反映し、誰が顧客接点部門へ周知したかを明確にする。この段階で曖昧なまま販売を始めると、責任分界の曖昧化や第二線確認の形骸化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非対面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非対面販売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非対面上の表示変更要否、ダミーデジタル販売管理部が再点検すべき期限を記録する。差戻し時は、担当者の再説明だけでなく、会議議事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非対面販売は契約成立または申込受付で終わらない。販売後の問い合わせ、初回利用停滞、早期解約、不満申出は、販売時の説明、適合性確認、同意取得、資料表示に戻して原因を確認する。非対面販売対象商品で苦情が発生した場合は、顧客の主張だけでなく、録音、チャット、画面ログ、決裁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非対面販売の件数や処理期限だけを見ると、販売品質の悪化を見落とす。販売目標偏重、第二線確認の形骸化、証跡欠落、説明補足、販売見送り、早期解約を同じ案件群で突合し、非対面固有の問題なのか、非対面販売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非対面では顧客の表情や同席者を確認しにくいため、理解確認の質問設計を強化する。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会議議事メモ、管理者確認ログ、改善アクションID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端末、IP、画面ID、同意文言版数を残し、後日どの画面で同意したかを再現できるようにする。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例外承認申請、管理者確認ログ、改善アクションID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チャットやオンライン面談での補足説明を、申込画面の同意ログと分断させない。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販売停止・再開判定票、管理者確認ログ、改善アクションID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通信障害や画面遷移不具合が販売判断へ影響した場合の保留基準を明確にする。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決裁ログ、管理者確認ログ、改善アクションID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非対面販売の受付から完了までを一意に追跡するID。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非対面販売対象商品の説明資料、FAQ、広告表示、画面文言の版数。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非対面で取得した理解確認、意向、質問、不安、家族相談希望。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非対面販売後の初回利用、問い合わせ、説明補足、解約兆候、苦情分類。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顧客が非対面販売対象商品のメリットだけを聞き、リスク説明を急いで終わらせたいと言った場合はどうするか。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非対面販売の証跡が一部欠落しているが、顧客が同意していると言っている場合はどうするか。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販売後に非対面販売対象商品について苦情が出た場合、販売担当者だけで回答してよいか。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非対面販売における例外処理は、顧客利便性を理由に証跡、説明、同意、承認を省略するための手段ではない。販売担当者は、例外承認の発生理由、非対面販売対象商品への顧客影響、代替手段、再発防止の要否を記録し、販売管理者へ報告する。金銭影響、個人情報影響、苦情化、非対面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ダミーデジタル販売管理部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非対面販売の通常手順では判断できない例外、期限超過、部門間判断相違がある。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決裁ログ、顧客連絡履歴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非対面販売対象商品に関する法令違反疑義、無資格販売、利益相反説明不足がある。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非対面で広範な顧客影響、システム障害、誤表示、個人情報影響がある。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DFH-INF-006 ログ管理・監査証跡基準</w:t>
      </w:r>
    </w:p>
    <w:p>
      <w:pPr>
        <w:pStyle w:val="ListBullet"/>
        <w:spacing w:after="60"/>
      </w:pPr>
      <w:r>
        <w:rPr>
          <w:rFonts w:ascii="Calibri" w:hAnsi="Calibri" w:eastAsia="Yu Gothic"/>
          <w:sz w:val="21"/>
        </w:rPr>
        <w:t>DFH-CUS-006 重要事項説明・同意取得マニュアル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実務検証用に、非対面販売の手順、判断基準、証跡、KPI、現場事例を具体化。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DFH-SAL-004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