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DFH-SAL-012 広告審査・差戻し対応マニュアル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DFH-SAL-012</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広告審査・差戻し対応マニュアル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広告審査担当、施策主管</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広告審査・差戻し対応マニュアルに関する販売実務を、担当者の経験則に依存させず、広告入稿から審査差戻しまで同じ粒度で実行するための手順である。広告審査・差戻し対応は、銀行、決済、カード、ローン、投資、保険を横断するため、商品固有の業法、説明事項、顧客属性制限がある場合は、商品別マニュアルを優先して参照する。 広告審査・差戻し対応では、顧客が見た表示、担当者が説明した内容、システムに残る同意、後続部署へ渡る申込情報が一連の証跡としてつながっていなければならない。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有利誤認、重要条件の小さな表示、景品条件の不整合が同時に起こることがある。ダミー顧客保護推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広告、Web、アプリ、SNS</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ダミー広告審査ワークベンチ、ダミー素材版管理庫、ダミーキャンペーン台帳、ダミーCRM、ダミー証跡保管庫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広告審査票、素材版数履歴、差戻し回答、キャンペーン事後検証、顧客連絡履歴、管理者承認ログ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広告審査・差戻し対応の対象案件を受け付け、対象チャネル、対象商品、顧客区分、利用予定資料の版数を確認する。</w:t>
      </w:r>
    </w:p>
    <w:p>
      <w:pPr>
        <w:pStyle w:val="ListNumber"/>
        <w:spacing w:after="60"/>
      </w:pPr>
      <w:r>
        <w:rPr>
          <w:rFonts w:ascii="Calibri" w:hAnsi="Calibri" w:eastAsia="Yu Gothic"/>
          <w:sz w:val="21"/>
        </w:rPr>
        <w:t>広告審査・差戻し対応対象商品に関する顧客属性、既存契約、過去の問い合わせ、連絡同意、本人確認状況を確認する。</w:t>
      </w:r>
    </w:p>
    <w:p>
      <w:pPr>
        <w:pStyle w:val="ListNumber"/>
        <w:spacing w:after="60"/>
      </w:pPr>
      <w:r>
        <w:rPr>
          <w:rFonts w:ascii="Calibri" w:hAnsi="Calibri" w:eastAsia="Yu Gothic"/>
          <w:sz w:val="21"/>
        </w:rPr>
        <w:t>広告、Web、アプリ、SNSで顧客が見る表示、担当者が使う説明資料、FAQ、申込画面が同一条件であることを確認する。</w:t>
      </w:r>
    </w:p>
    <w:p>
      <w:pPr>
        <w:pStyle w:val="ListNumber"/>
        <w:spacing w:after="60"/>
      </w:pPr>
      <w:r>
        <w:rPr>
          <w:rFonts w:ascii="Calibri" w:hAnsi="Calibri" w:eastAsia="Yu Gothic"/>
          <w:sz w:val="21"/>
        </w:rPr>
        <w:t>広告審査の受付、指摘、修正、再審査、記録保存を定義する。顧客の質問、迷い、不安、家族相談希望を販売可否判断に反映する。</w:t>
      </w:r>
    </w:p>
    <w:p>
      <w:pPr>
        <w:pStyle w:val="ListNumber"/>
        <w:spacing w:after="60"/>
      </w:pPr>
      <w:r>
        <w:rPr>
          <w:rFonts w:ascii="Calibri" w:hAnsi="Calibri" w:eastAsia="Yu Gothic"/>
          <w:sz w:val="21"/>
        </w:rPr>
        <w:t>LP公開または特典条件変更が必要な場合は、管理者承認または第二線照会を登録する。</w:t>
      </w:r>
    </w:p>
    <w:p>
      <w:pPr>
        <w:pStyle w:val="ListNumber"/>
        <w:spacing w:after="60"/>
      </w:pPr>
      <w:r>
        <w:rPr>
          <w:rFonts w:ascii="Calibri" w:hAnsi="Calibri" w:eastAsia="Yu Gothic"/>
          <w:sz w:val="21"/>
        </w:rPr>
        <w:t>広告審査票、素材版数履歴、同意ログ、顧客連絡履歴を申込IDまたは顧客IDでひも付ける。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販売後の問い合わせ、説明補足、解約兆候、苦情化懸念をダミー顧客保護推進部へ戻し、月次点検に反映する。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広告審査・差戻し対応の対象案件を受け付け、対象商品、対象チャネル、顧客影響、利用予定資料の版数を確認する。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広告審査票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広告審査の受付、指摘、修正、再審査、記録保存を定義する。説明順序、禁止表現、追加確認の要否を判断し、顧客の質問を残す。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ダミーキャンペーン台帳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素材版数履歴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LP公開または特典条件変更に該当する場合は、販売継続、保留、見送り、第二線照会を選択する。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差戻し回答</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広告、Web、アプリ、SNSで発生した不備、顧客反応、改善要望を商品主管、顧客接点、第二線へ引き継ぐ。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広告審査・差戻し対応のKPI/KRI、苦情、申込不備、説明補足、例外承認の傾向を評価する。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広告審査・差戻し対応に必要な顧客属性、説明、同意、申込情報、証跡がそろっている。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特典条件変更、高齢者対応、利益相反、乗換、期限超過、委託先判断がある。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顧客意向と広告審査・差戻し対応対象商品の特性が合わない、理解不足が解消しない、本人確認または同意が未完了である。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景品条件の不整合、広範な顧客影響、苦情多発、不正疑義、無資格販売の疑いがある。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顧客が理解していないまま、広告、Web、アプリ、SNSで同意ボタン押下、申込署名、録音上の形式的回答を誘導すること。</w:t>
      </w:r>
    </w:p>
    <w:p>
      <w:pPr>
        <w:pStyle w:val="ListBullet"/>
        <w:spacing w:after="60"/>
      </w:pPr>
      <w:r>
        <w:rPr>
          <w:rFonts w:ascii="Calibri" w:hAnsi="Calibri" w:eastAsia="Yu Gothic"/>
          <w:sz w:val="21"/>
        </w:rPr>
        <w:t>広告審査・差戻し対応対象商品について、審査、利回り、補償、特典、返金、税務効果など不確定事項を断定すること。</w:t>
      </w:r>
    </w:p>
    <w:p>
      <w:pPr>
        <w:pStyle w:val="ListBullet"/>
        <w:spacing w:after="60"/>
      </w:pPr>
      <w:r>
        <w:rPr>
          <w:rFonts w:ascii="Calibri" w:hAnsi="Calibri" w:eastAsia="Yu Gothic"/>
          <w:sz w:val="21"/>
        </w:rPr>
        <w:t>素材版数履歴を残さず、広告審査を通過していない資料、古い説明資料、個人作成の比較表を使用すること。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顧客の不安、苦情、迷い、家族相談希望を記録せず、広告審査・差戻し対応の処理を先に進めること。</w:t>
      </w:r>
    </w:p>
    <w:p>
      <w:pPr>
        <w:pStyle w:val="ListBullet"/>
        <w:spacing w:after="60"/>
      </w:pPr>
      <w:r>
        <w:rPr>
          <w:rFonts w:ascii="Calibri" w:hAnsi="Calibri" w:eastAsia="Yu Gothic"/>
          <w:sz w:val="21"/>
        </w:rPr>
        <w:t>販売目標達成のために、有利誤認または顧客属性に合わない推奨を行うこと。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広告審査票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広告審査・差戻し対応の受付、判断、承認、差戻しの時系列を確認するための主証跡。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DFH-SAL-012、顧客ID、申込ID、商品ID、担当者ID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素材版数履歴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広告、Web、アプリ、SNSで顧客に提示した説明内容と、顧客が確認した時点を示す証跡。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差戻し回答</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ダミー顧客保護推進部から後続部署へ引き継いだ課題、改善要望、期限、完了確認。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広告審査・差戻し対応の運用状況を、KPI/KRI、苦情、申込不備、担当者別ばらつきで振り返る記録。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広告審査・差戻し対応の証跡は、顧客単位、申込単位、商品単位、担当者単位で検索できる状態にする。広告審査票や素材版数履歴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広告審査・差戻し対応処理期限遵守率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広告入稿から主管部署の一次判断までの期限遵守を測る。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広告、Web、アプリ、SNS証跡欠落率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広告審査・差戻し対応に関連する問い合わせが苦情または不満申出へ転化した割合を測る。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広告、Web、アプリ、SNSで顧客が『急いで申し込みたい』と申し出た。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広告審査・差戻し対応では手続速度より理解確認を優先する。期限、取消可否、不利益事項を再説明し、急がせる表現を避ける。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特典条件変更が必要だが管理者が不在である。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ダミー顧客保護推進部への引継ぎ後、顧客から同じ質問が再度寄せられた。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広告審査・差戻し対応マニュアルの運用では、広告入稿を単発処理として閉じず、LP公開、特典条件変更、審査差戻しまでを同じ管理単位で追跡する。日次確認は広告、Web、アプリ、SNSの滞留と顧客連絡漏れを防ぐための統制であり、月次確認は広告審査・差戻し対応対象商品の説明資料、画面、研修、委託先管理を見直すための統制である。広告審査・差戻し対応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広告審査・差戻し対応の未完了、顧客回答待ち、説明補足、同意未取得、申込不備を確認する。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広告審査票、CRMステータス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特典条件変更、販売見送り、苦情化懸念、顧客影響がある案件を確認する。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広告、Web、アプリ、SNSの進捗、表示・導線の不備、担当者別ばらつき、後続部署への滞留を確認する。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広告審査・差戻し対応の制度設計、教育状況、規程改定要否、第二線指摘の完了状況を確認する。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広告審査・差戻し対応の証跡は、後日の苦情、監査、当局照会、システム障害時の顧客影響調査に耐える粒度で保存する。単に「広告審査・差戻し対応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広告審査票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DFH-SAL-012、顧客ID、申込ID、商品ID、担当者ID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広告審査・差戻し対応の受付、判断、承認、差戻しの時系列を確認するための主証跡。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素材版数履歴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広告、Web、アプリ、SNSで顧客に提示した説明内容と、顧客が確認した時点を示す証跡。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差戻し回答</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ダミー顧客保護推進部から後続部署へ引き継いだ課題、改善要望、期限、完了確認。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広告審査・差戻し対応の運用状況を、KPI/KRI、苦情、申込不備、担当者別ばらつきで振り返る記録。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広告、Web、アプリ、SNSで顧客が『急いで申し込みたい』と申し出た。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広告審査・差戻し対応では手続速度より理解確認を優先する。期限、取消可否、不利益事項を再説明し、急がせる表現を避ける。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特典条件変更が必要だが管理者が不在である。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ダミー顧客保護推進部への引継ぎ後、顧客から同じ質問が再度寄せられた。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広告、Web、アプリ、SNSで想定される顧客接点が、文書上の対象チャネルと実際の運用で一致しているか確認する。</w:t>
      </w:r>
    </w:p>
    <w:p>
      <w:pPr>
        <w:pStyle w:val="ListBullet"/>
        <w:spacing w:after="60"/>
      </w:pPr>
      <w:r>
        <w:rPr>
          <w:rFonts w:ascii="Calibri" w:hAnsi="Calibri" w:eastAsia="Yu Gothic"/>
          <w:sz w:val="21"/>
        </w:rPr>
        <w:t>広告審査・差戻し対応対象商品に固有の説明事項、販売制限、資格要件、顧客属性条件が最新であるか確認する。</w:t>
      </w:r>
    </w:p>
    <w:p>
      <w:pPr>
        <w:pStyle w:val="ListBullet"/>
        <w:spacing w:after="60"/>
      </w:pPr>
      <w:r>
        <w:rPr>
          <w:rFonts w:ascii="Calibri" w:hAnsi="Calibri" w:eastAsia="Yu Gothic"/>
          <w:sz w:val="21"/>
        </w:rPr>
        <w:t>顧客が見る訴求、FAQ、契約前説明が同じ条件で説明されているかを確認する。</w:t>
      </w:r>
    </w:p>
    <w:p>
      <w:pPr>
        <w:pStyle w:val="ListBullet"/>
        <w:spacing w:after="60"/>
      </w:pPr>
      <w:r>
        <w:rPr>
          <w:rFonts w:ascii="Calibri" w:hAnsi="Calibri" w:eastAsia="Yu Gothic"/>
          <w:sz w:val="21"/>
        </w:rPr>
        <w:t>顧客からの質問、迷い、不満、家族相談希望が、広告審査・差戻し対応の販売可否判断に反映されているか確認する。</w:t>
      </w:r>
    </w:p>
    <w:p>
      <w:pPr>
        <w:pStyle w:val="ListBullet"/>
        <w:spacing w:after="60"/>
      </w:pPr>
      <w:r>
        <w:rPr>
          <w:rFonts w:ascii="Calibri" w:hAnsi="Calibri" w:eastAsia="Yu Gothic"/>
          <w:sz w:val="21"/>
        </w:rPr>
        <w:t>月次KPI/KRIの悪化が、担当者個人の問題、資料不備、広告、Web、アプリ、SNSの導線設計、広告審査・差戻し対応対象商品の商品条件、委託先運用のどこに起因するかを切り分ける。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広告審査・差戻し対応の不備を検出した場合は、個別案件の修正だけで完了させず、同種不備が再発する構造を確認する。是正分類は、担当者教育、説明資料、広告、Web、アプリ、SNSの画面・応対導線、広告審査・差戻し対応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広告審査・差戻し対応で必要な顧客意向、経験、資産状況、返済能力または加入目的の確認不足。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広告審査票、素材版数履歴、申込差戻し理由が検索できない。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広告、Web、アプリ、SNSの表示条件、FAQ、説明資料、申込画面が不一致。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特典条件変更が口頭処理、期限超過、同種不備の放置。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顧客保護推進部は、本書の内容を販売担当者、管理者、代理店、委託先に周知し、広告審査・差戻し対応対象商品の商品改定、法令改正、広告、Web、アプリ、SNS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広告審査・差戻し対応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新任担当者は、広告審査・差戻し対応対象商品の販売開始前に商品別研修、顧客説明研修、個人情報・AML/CFT研修を完了する。</w:t>
      </w:r>
    </w:p>
    <w:p>
      <w:pPr>
        <w:pStyle w:val="ListBullet"/>
        <w:spacing w:after="60"/>
      </w:pPr>
      <w:r>
        <w:rPr>
          <w:rFonts w:ascii="Calibri" w:hAnsi="Calibri" w:eastAsia="Yu Gothic"/>
          <w:sz w:val="21"/>
        </w:rPr>
        <w:t>広告審査・差戻し対応の販売権限は、研修受講、理解度テスト、ロールプレイ評価、管理者承認を満たした担当者に限定する。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委託先の販売品質は、月次件数だけでなく、広告、Web、アプリ、SNSの録音、チャット、申込不備、苦情、説明補足のサンプルで確認する。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監査対応資料は、加工済み集計表だけでなく、広告審査票へ戻れる検索キーを添付する。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広告審査・差戻し対応を販売現場で運用する際は、顧客に見える説明と、社内で処理される承認・証跡・後続連携を分けて考える必要がある。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広告入稿が起点となる案件では、誰が正本を更新し、誰が広告、Web、アプリ、SNSへ反映し、誰が顧客接点部門へ周知したかを明確にする。この段階で曖昧なまま販売を始めると、重要条件の小さな表示や景品条件の不整合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広告審査・差戻し対応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広告審査・差戻し対応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特典条件変更が必要な案件では、承認者が単に「可」と回答するだけでは足りない。承認ログには、顧客影響、代替案、追加説明の要否、広告、Web、アプリ、SNS上の表示変更要否、ダミー顧客保護推進部が再点検すべき期限を記録する。差戻し時は、担当者の再説明だけでなく、素材版数履歴、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広告審査・差戻し対応は契約成立または申込受付で終わらない。販売後の問い合わせ、初回利用停滞、早期解約、不満申出は、販売時の説明、適合性確認、同意取得、資料表示に戻して原因を確認する。広告審査・差戻し対応対象商品で苦情が発生した場合は、顧客の主張だけでなく、録音、チャット、画面ログ、広告審査票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広告審査・差戻し対応の件数や処理期限だけを見ると、販売品質の悪化を見落とす。有利誤認、景品条件の不整合、証跡欠落、説明補足、販売見送り、早期解約を同じ案件群で突合し、広告、Web、アプリ、SNS固有の問題なのか、広告審査・差戻し対応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広告審査の差戻し理由を単なる文言修正ではなく、顧客誤認リスク別に分類する。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素材版数履歴、管理者確認ログ、改善アクションID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再審査では修正箇所だけでなく、修正により別の表示不整合が生じていないか確認する。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差戻し回答、管理者確認ログ、改善アクションID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審査済み素材が公開時に差し替わらないよう、公開判定と素材版数を連携する。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キャンペーン事後検証、管理者確認ログ、改善アクションID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緊急キャンペーンでも審査省略を認めず、暫定表現の期限を管理する。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広告審査票、管理者確認ログ、改善アクションID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広告審査・差戻し対応の受付から完了までを一意に追跡するID。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広告、Web、アプリ、SNSで取得した理解確認、意向、質問、不安、家族相談希望。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特典条件変更、販売見送り、第二線照会、販売停止提案の状態。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広告審査・差戻し対応後の初回利用、問い合わせ、説明補足、解約兆候、苦情分類。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顧客が広告審査・差戻し対応対象商品のメリットだけを聞き、リスク説明を急いで終わらせたいと言った場合はどうするか。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広告、Web、アプリ、SNSで説明した内容とFAQの回答が違うことに気付いた場合はどうするか。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特典条件変更が必要か迷う案件を担当者判断で進めてよいか。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広告審査・差戻し対応の証跡が一部欠落しているが、顧客が同意していると言っている場合はどうするか。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販売後に広告審査・差戻し対応対象商品について苦情が出た場合、販売担当者だけで回答してよいか。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広告審査・差戻し対応における例外処理は、顧客利便性を理由に証跡、説明、同意、承認を省略するための手段ではない。販売担当者は、特典条件変更の発生理由、広告審査・差戻し対応対象商品への顧客影響、代替手段、再発防止の要否を記録し、販売管理者へ報告する。金銭影響、個人情報影響、苦情化、広告、Web、アプリ、SNS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広告審査・差戻し対応の通常手順では判断できない例外、期限超過、部門間判断相違がある。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広告審査票、顧客連絡履歴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景品条件の不整合または同種不備の再発が疑われる。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広告審査・差戻し対応対象商品に関する法令違反疑義、無資格販売、利益相反説明不足がある。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広告、Web、アプリ、SNSで広範な顧客影響、システム障害、誤表示、個人情報影響がある。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DFH-CUS-004 広告・表示審査規程</w:t>
      </w:r>
    </w:p>
    <w:p>
      <w:pPr>
        <w:pStyle w:val="ListBullet"/>
        <w:spacing w:after="60"/>
      </w:pPr>
      <w:r>
        <w:rPr>
          <w:rFonts w:ascii="Calibri" w:hAnsi="Calibri" w:eastAsia="Yu Gothic"/>
          <w:sz w:val="21"/>
        </w:rPr>
        <w:t>DFH-EX-MGT-022 広告審査会議議事メモ</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実務検証用に、広告審査・差戻し対応の手順、判断基準、証跡、KPI、現場事例を具体化。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DFH-SAL-012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