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DFH-SAL-021 高齢者・脆弱顧客販売対応マニュアル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高齢者・脆弱顧客に接する販売担当者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高齢者・脆弱顧客販売対応マニュアルに関する販売実務を、担当者の経験則に依存させず、商品説明から比較推奨まで同じ粒度で実行するための手順である。投資、保険、ローンは顧客の資産状況、返済能力、加入目的、リスク許容度により適合性の判断が変わるため、販売担当者は提案前に顧客情報を更新し、推奨理由を記録する。 高齢者・脆弱顧客販売対応では、顧客が見た表示、担当者が説明した内容、システムに残る同意、後続部署へ渡る申込情報が一連の証跡としてつながっていなければならない。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顧客保護推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対面、電話、オンライン面談</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投資、保険、ローン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高齢者・脆弱顧客販売対応の対象案件を受け付け、対象チャネル、対象商品、顧客区分、利用予定資料の版数を確認する。</w:t>
      </w:r>
    </w:p>
    <w:p>
      <w:pPr>
        <w:pStyle w:val="ListNumber"/>
        <w:spacing w:after="60"/>
      </w:pPr>
      <w:r>
        <w:rPr>
          <w:rFonts w:ascii="Calibri" w:hAnsi="Calibri" w:eastAsia="Yu Gothic"/>
          <w:sz w:val="21"/>
        </w:rPr>
        <w:t>投資、保険、ローンに関する顧客属性、既存契約、過去の問い合わせ、連絡同意、本人確認状況を確認する。</w:t>
      </w:r>
    </w:p>
    <w:p>
      <w:pPr>
        <w:pStyle w:val="ListNumber"/>
        <w:spacing w:after="60"/>
      </w:pPr>
      <w:r>
        <w:rPr>
          <w:rFonts w:ascii="Calibri" w:hAnsi="Calibri" w:eastAsia="Yu Gothic"/>
          <w:sz w:val="21"/>
        </w:rPr>
        <w:t>対面、電話、オンライン面談で顧客が見る表示、担当者が使う説明資料、FAQ、申込画面が同一条件であることを確認する。</w:t>
      </w:r>
    </w:p>
    <w:p>
      <w:pPr>
        <w:pStyle w:val="ListNumber"/>
        <w:spacing w:after="60"/>
      </w:pPr>
      <w:r>
        <w:rPr>
          <w:rFonts w:ascii="Calibri" w:hAnsi="Calibri" w:eastAsia="Yu Gothic"/>
          <w:sz w:val="21"/>
        </w:rPr>
        <w:t>追加説明、家族同席、複数日確認、販売見送り判断を定義する。顧客の質問、迷い、不安、家族相談希望を販売可否判断に反映する。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販売後の問い合わせ、説明補足、解約兆候、苦情化懸念をダミー顧客保護推進部へ戻し、月次点検に反映する。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追加説明、家族同席、複数日確認、販売見送り判断を定義する。説明順序、禁止表現、追加確認の要否を判断し、顧客の質問を残す。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投資、保険、ローンの費用、リスク、取消条件、特典条件、顧客質問への回答が不足している。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顧客意向と投資、保険、ローンの特性が合わない、理解不足が解消しない、本人確認または同意が未完了である。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顧客が理解していないまま、対面、電話、オンライン面談で同意ボタン押下、申込署名、録音上の形式的回答を誘導すること。</w:t>
      </w:r>
    </w:p>
    <w:p>
      <w:pPr>
        <w:pStyle w:val="ListBullet"/>
        <w:spacing w:after="60"/>
      </w:pPr>
      <w:r>
        <w:rPr>
          <w:rFonts w:ascii="Calibri" w:hAnsi="Calibri" w:eastAsia="Yu Gothic"/>
          <w:sz w:val="21"/>
        </w:rPr>
        <w:t>投資、保険、ローンについて、審査、利回り、補償、特典、返金、税務効果など不確定事項を断定すること。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顧客の不安、苦情、迷い、家族相談希望を記録せず、高齢者・脆弱顧客販売対応の処理を先に進めること。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DFH-SAL-021、顧客ID、申込ID、商品ID、担当者ID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投資、保険、ローンに関する例外、追加説明、販売見送り、第二線照会の判断根拠。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高齢者・脆弱顧客販売対応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投資、保険、ローン説明補足率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対面、電話、オンライン面談証跡欠落率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高齢者・脆弱顧客販売対応マニュアルの運用では、商品説明を単発処理として閉じず、理解確認、意向把握、比較推奨までを同じ管理単位で追跡する。日次確認は対面、電話、オンライン面談の滞留と顧客連絡漏れを防ぐための統制であり、月次確認は投資、保険、ローンの説明資料、画面、研修、委託先管理を見直すための統制である。高齢者・脆弱顧客販売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投資、保険、ローンのKPI/KRI、販売苦情、説明不備、証跡欠落、サンプル点検結果を確認する。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高齢者・脆弱顧客販売対応の証跡は、後日の苦情、監査、当局照会、システム障害時の顧客影響調査に耐える粒度で保存する。単に「高齢者・脆弱顧客販売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DFH-SAL-021、顧客ID、申込ID、商品ID、担当者ID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投資、保険、ローンに関する例外、追加説明、販売見送り、第二線照会の判断根拠。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ダミー顧客保護推進部から後続部署へ引き継いだ課題、改善要望、期限、完了確認。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ダミー顧客保護推進部への引継ぎ後、顧客から同じ質問が再度寄せられた。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対面、電話、オンライン面談で想定される顧客接点が、文書上の対象チャネルと実際の運用で一致しているか確認する。</w:t>
      </w:r>
    </w:p>
    <w:p>
      <w:pPr>
        <w:pStyle w:val="ListBullet"/>
        <w:spacing w:after="60"/>
      </w:pPr>
      <w:r>
        <w:rPr>
          <w:rFonts w:ascii="Calibri" w:hAnsi="Calibri" w:eastAsia="Yu Gothic"/>
          <w:sz w:val="21"/>
        </w:rPr>
        <w:t>投資、保険、ローンに固有の説明事項、販売制限、資格要件、顧客属性条件が最新であるか確認する。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顧客からの質問、迷い、不満、家族相談希望が、高齢者・脆弱顧客販売対応の販売可否判断に反映されているか確認する。</w:t>
      </w:r>
    </w:p>
    <w:p>
      <w:pPr>
        <w:pStyle w:val="ListBullet"/>
        <w:spacing w:after="60"/>
      </w:pPr>
      <w:r>
        <w:rPr>
          <w:rFonts w:ascii="Calibri" w:hAnsi="Calibri" w:eastAsia="Yu Gothic"/>
          <w:sz w:val="21"/>
        </w:rPr>
        <w:t>月次KPI/KRIの悪化が、担当者個人の問題、資料不備、対面、電話、オンライン面談の導線設計、投資、保険、ローンの商品条件、委託先運用のどこに起因するかを切り分ける。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高齢者・脆弱顧客販売対応の不備を検出した場合は、個別案件の修正だけで完了させず、同種不備が再発する構造を確認する。是正分類は、担当者教育、説明資料、対面、電話、オンライン面談の画面・応対導線、投資、保険、ローン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投資、保険、ローンの費用、リスク、取消条件、特典条件の一部説明漏れ。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保護推進部は、本書の内容を販売担当者、管理者、代理店、委託先に周知し、投資、保険、ローンの商品改定、法令改正、対面、電話、オンライン面談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高齢者・脆弱顧客販売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新任担当者は、投資、保険、ローンの販売開始前に商品別研修、顧客説明研修、個人情報・AML/CFT研修を完了する。</w:t>
      </w:r>
    </w:p>
    <w:p>
      <w:pPr>
        <w:pStyle w:val="ListBullet"/>
        <w:spacing w:after="60"/>
      </w:pPr>
      <w:r>
        <w:rPr>
          <w:rFonts w:ascii="Calibri" w:hAnsi="Calibri" w:eastAsia="Yu Gothic"/>
          <w:sz w:val="21"/>
        </w:rPr>
        <w:t>高齢者・脆弱顧客販売対応の販売権限は、研修受講、理解度テスト、ロールプレイ評価、管理者承認を満たした担当者に限定する。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委託先の販売品質は、月次件数だけでなく、対面、電話、オンライン面談の録音、チャット、申込不備、苦情、説明補足のサンプルで確認する。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ダミー顧客保護推進部は、高齢者・脆弱顧客販売対応を単独工程として扱わず、販売前設計、顧客接点、申込、販売後フォロー、品質点検を一つの流れとして管理する。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商品説明が起点となる案件では、誰が正本を更新し、誰が対面、電話、オンライン面談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高齢者・脆弱顧客販売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投資、保険、ローン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対面、電話、オンライン面談上の表示変更要否、ダミー顧客保護推進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高齢者・脆弱顧客販売対応は契約成立または申込受付で終わらない。販売後の問い合わせ、初回利用停滞、早期解約、不満申出は、販売時の説明、適合性確認、同意取得、資料表示に戻して原因を確認する。投資、保険、ローン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高齢者・脆弱顧客販売対応の件数や処理期限だけを見ると、販売品質の悪化を見落とす。説明省略、顧客意向との不一致、証跡欠落、説明補足、販売見送り、早期解約を同じ案件群で突合し、対面、電話、オンライン面談固有の問題なのか、投資、保険、ローン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高齢者対応では年齢だけでなく、理解度、同席者、判断支援の必要性を確認する。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複数日確認は形式的な待機期間ではなく、顧客が再検討できる時間として運用する。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家族同席時も顧客本人の意思確認を省略しない。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販売見送りを顧客差別ではなく顧客保護の判断として記録する。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ダミー顧客保護推進部が月次点検で確認し、必要に応じて理解確認または意向把握へ接続する。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投資、保険、ローンの説明資料、FAQ、広告表示、画面文言の版数。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高齢者・脆弱顧客販売対応後の初回利用、問い合わせ、説明補足、解約兆候、苦情分類。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顧客が投資、保険、ローンのメリットだけを聞き、リスク説明を急いで終わらせたいと言った場合はどうするか。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販売後に投資、保険、ローンについて苦情が出た場合、販売担当者だけで回答してよいか。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高齢者・脆弱顧客販売対応における例外処理は、顧客利便性を理由に証跡、説明、同意、承認を省略するための手段ではない。販売担当者は、意向把握の発生理由、投資、保険、ローンへの顧客影響、代替手段、再発防止の要否を記録し、販売管理者へ報告する。金銭影響、個人情報影響、苦情化、対面、電話、オンライン面談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ダミー顧客保護推進部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高齢者・脆弱顧客販売対応の通常手順では判断できない例外、期限超過、部門間判断相違がある。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投資、保険、ローンに関する法令違反疑義、無資格販売、利益相反説明不足がある。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対面、電話、オンライン面談で広範な顧客影響、システム障害、誤表示、個人情報影響がある。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DFH-CUS-014 高齢者・脆弱顧客対応マニュアル</w:t>
      </w:r>
    </w:p>
    <w:p>
      <w:pPr>
        <w:pStyle w:val="ListBullet"/>
        <w:spacing w:after="60"/>
      </w:pPr>
      <w:r>
        <w:rPr>
          <w:rFonts w:ascii="Calibri" w:hAnsi="Calibri" w:eastAsia="Yu Gothic"/>
          <w:sz w:val="21"/>
        </w:rPr>
        <w:t>DFH-INS-005 乗換募集・高齢者募集管理基準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実務検証用に、高齢者・脆弱顧客販売対応の手順、判断基準、証跡、KPI、現場事例を具体化。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