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DFH-SAL-031 銀行口座・預金サービス販売マニュアル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銀行口座・預金サービス販売マニュアルに関する販売実務を、担当者の経験則に依存させず、商品案内から販売後フォローまで同じ粒度で実行するための手順である。銀行口座・預金サービスでは、本人確認、反社・制裁照合、手数料、預金保険、入出金制限、口座不正利用防止を説明対象に含める。 銀行口座・預金サービス販売では、顧客が見た表示、担当者が説明した内容、システムに残る同意、後続部署へ渡る申込情報が一連の証跡としてつながっていなければならない。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現場では、商品固有リスクの説明不足、販売対象外顧客への案内、審査保証表現が同時に起こることがある。ダミーまんなか銀行株式会社 販売推進部は、個別担当者の注意喚起だけで終わらせず、資料、画面、承認経路、研修、委託先運用のどこに原因があるかを切り分ける。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アプリ、Web、対面</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銀行口座・預金</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銀行口座・預金サービス販売の対象案件を受け付け、対象チャネル、対象商品、顧客区分、利用予定資料の版数を確認する。</w:t>
      </w:r>
    </w:p>
    <w:p>
      <w:pPr>
        <w:pStyle w:val="ListNumber"/>
        <w:spacing w:after="60"/>
      </w:pPr>
      <w:r>
        <w:rPr>
          <w:rFonts w:ascii="Calibri" w:hAnsi="Calibri" w:eastAsia="Yu Gothic"/>
          <w:sz w:val="21"/>
        </w:rPr>
        <w:t>銀行口座・預金に関する顧客属性、既存契約、過去の問い合わせ、連絡同意、本人確認状況を確認する。</w:t>
      </w:r>
    </w:p>
    <w:p>
      <w:pPr>
        <w:pStyle w:val="ListNumber"/>
        <w:spacing w:after="60"/>
      </w:pPr>
      <w:r>
        <w:rPr>
          <w:rFonts w:ascii="Calibri" w:hAnsi="Calibri" w:eastAsia="Yu Gothic"/>
          <w:sz w:val="21"/>
        </w:rPr>
        <w:t>アプリ、Web、対面で顧客が見る表示、担当者が使う説明資料、FAQ、申込画面が同一条件であることを確認する。</w:t>
      </w:r>
    </w:p>
    <w:p>
      <w:pPr>
        <w:pStyle w:val="ListNumber"/>
        <w:spacing w:after="60"/>
      </w:pPr>
      <w:r>
        <w:rPr>
          <w:rFonts w:ascii="Calibri" w:hAnsi="Calibri" w:eastAsia="Yu Gothic"/>
          <w:sz w:val="21"/>
        </w:rPr>
        <w:t>口座開設、預金サービス、手数料、預金保険説明を定義する。顧客の質問、迷い、不安、家族相談希望を販売可否判断に反映する。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販売後の問い合わせ、説明補足、解約兆候、苦情化懸念をダミーまんなか銀行株式会社 販売推進部へ戻し、月次点検に反映する。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銀行口座・預金に関する顧客属性、既存契約、過去の問い合わせ、販売制限、同意状況を確認する。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口座開設、預金サービス、手数料、預金保険説明を定義する。説明順序、禁止表現、追加確認の要否を判断し、顧客の質問を残す。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銀行口座・預金の費用、リスク、取消条件、特典条件、顧客質問への回答が不足している。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顧客意向と銀行口座・預金の特性が合わない、理解不足が解消しない、本人確認または同意が未完了である。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顧客が理解していないまま、アプリ、Web、対面で同意ボタン押下、申込署名、録音上の形式的回答を誘導すること。</w:t>
      </w:r>
    </w:p>
    <w:p>
      <w:pPr>
        <w:pStyle w:val="ListBullet"/>
        <w:spacing w:after="60"/>
      </w:pPr>
      <w:r>
        <w:rPr>
          <w:rFonts w:ascii="Calibri" w:hAnsi="Calibri" w:eastAsia="Yu Gothic"/>
          <w:sz w:val="21"/>
        </w:rPr>
        <w:t>銀行口座・預金について、審査、利回り、補償、特典、返金、税務効果など不確定事項を断定すること。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顧客の不安、苦情、迷い、家族相談希望を記録せず、銀行口座・預金サービス販売の処理を先に進めること。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DFH-SAL-031、顧客ID、申込ID、商品ID、担当者ID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アプリ、Web、対面で顧客に提示した説明内容と、顧客が確認した時点を示す証跡。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銀行口座・預金に関する例外、追加説明、販売見送り、第二線照会の判断根拠。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銀行口座・預金サービス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銀行口座・預金説明補足率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アプリ、Web、対面証跡欠落率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銀行口座・預金の説明資料と広告表示の条件が一致しない。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銀行口座・預金サービス販売マニュアルの運用では、商品案内を単発処理として閉じず、商品固有確認、審査・引受連携、販売後フォローまでを同じ管理単位で追跡する。日次確認はアプリ、Web、対面の滞留と顧客連絡漏れを防ぐための統制であり、月次確認は銀行口座・預金の説明資料、画面、研修、委託先管理を見直すための統制である。銀行口座・預金サービス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アプリ、Web、対面の進捗、表示・導線の不備、担当者別ばらつき、後続部署への滞留を確認する。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銀行口座・預金のKPI/KRI、販売苦情、説明不備、証跡欠落、サンプル点検結果を確認する。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銀行口座・預金サービス販売の証跡は、後日の苦情、監査、当局照会、システム障害時の顧客影響調査に耐える粒度で保存する。単に「銀行口座・預金サービス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DFH-SAL-031、顧客ID、申込ID、商品ID、担当者ID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アプリ、Web、対面で顧客に提示した説明内容と、顧客が確認した時点を示す証跡。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銀行口座・預金に関する例外、追加説明、販売見送り、第二線照会の判断根拠。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銀行口座・預金の説明資料と広告表示の条件が一致しない。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アプリ、Web、対面で想定される顧客接点が、文書上の対象チャネルと実際の運用で一致しているか確認する。</w:t>
      </w:r>
    </w:p>
    <w:p>
      <w:pPr>
        <w:pStyle w:val="ListBullet"/>
        <w:spacing w:after="60"/>
      </w:pPr>
      <w:r>
        <w:rPr>
          <w:rFonts w:ascii="Calibri" w:hAnsi="Calibri" w:eastAsia="Yu Gothic"/>
          <w:sz w:val="21"/>
        </w:rPr>
        <w:t>銀行口座・預金に固有の説明事項、販売制限、資格要件、顧客属性条件が最新であるか確認する。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顧客からの質問、迷い、不満、家族相談希望が、銀行口座・預金サービス販売の販売可否判断に反映されているか確認する。</w:t>
      </w:r>
    </w:p>
    <w:p>
      <w:pPr>
        <w:pStyle w:val="ListBullet"/>
        <w:spacing w:after="60"/>
      </w:pPr>
      <w:r>
        <w:rPr>
          <w:rFonts w:ascii="Calibri" w:hAnsi="Calibri" w:eastAsia="Yu Gothic"/>
          <w:sz w:val="21"/>
        </w:rPr>
        <w:t>月次KPI/KRIの悪化が、担当者個人の問題、資料不備、アプリ、Web、対面の導線設計、銀行口座・預金の商品条件、委託先運用のどこに起因するかを切り分ける。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銀行口座・預金サービス販売の不備を検出した場合は、個別案件の修正だけで完了させず、同種不備が再発する構造を確認する。是正分類は、担当者教育、説明資料、アプリ、Web、対面の画面・応対導線、銀行口座・預金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銀行口座・預金の費用、リスク、取消条件、特典条件の一部説明漏れ。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アプリ、Web、対面の表示条件、FAQ、説明資料、申込画面が不一致。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ダミーまんなか銀行株式会社 販売推進部は、本書の内容を販売担当者、管理者、代理店、委託先に周知し、銀行口座・預金の商品改定、法令改正、アプリ、Web、対面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銀行口座・預金サービス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新任担当者は、銀行口座・預金の販売開始前に商品別研修、顧客説明研修、個人情報・AML/CFT研修を完了する。</w:t>
      </w:r>
    </w:p>
    <w:p>
      <w:pPr>
        <w:pStyle w:val="ListBullet"/>
        <w:spacing w:after="60"/>
      </w:pPr>
      <w:r>
        <w:rPr>
          <w:rFonts w:ascii="Calibri" w:hAnsi="Calibri" w:eastAsia="Yu Gothic"/>
          <w:sz w:val="21"/>
        </w:rPr>
        <w:t>銀行口座・預金サービス販売の販売権限は、研修受講、理解度テスト、ロールプレイ評価、管理者承認を満たした担当者に限定する。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委託先の販売品質は、月次件数だけでなく、アプリ、Web、対面の録音、チャット、申込不備、苦情、説明補足のサンプルで確認する。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銀行口座・預金に関する顧客説明は、商品主管の正本、広告審査済み表現、FAQ、顧客接点部門の回答を同じ条件にそろえることから始まる。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商品案内が起点となる案件では、誰が正本を更新し、誰がアプリ、Web、対面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銀行口座・預金サービス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銀行口座・預金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審査・引受連携が必要な案件では、承認者が単に「可」と回答するだけでは足りない。承認ログには、顧客影響、代替案、追加説明の要否、アプリ、Web、対面上の表示変更要否、ダミーまんなか銀行株式会社 販売推進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銀行口座・預金サービス販売は契約成立または申込受付で終わらない。販売後の問い合わせ、初回利用停滞、早期解約、不満申出は、販売時の説明、適合性確認、同意取得、資料表示に戻して原因を確認する。銀行口座・預金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銀行口座・預金サービス販売の件数や処理期限だけを見ると、販売品質の悪化を見落とす。商品固有リスクの説明不足、審査保証表現、証跡欠落、説明補足、販売見送り、早期解約を同じ案件群で突合し、アプリ、Web、対面固有の問題なのか、銀行口座・預金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口座開設では、本人確認と利用目的確認を販売手続の前提にする。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預金保険や手数料を、キャンペーン金利の説明と分けて案内する。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口座不正利用防止の観点から、疑わしい利用目的を申込管理へ連携する。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預金商品は元本保証の範囲と対象外事項を明確に説明する。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銀行口座・預金の説明資料、FAQ、広告表示、画面文言の版数。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アプリ、Web、対面で取得した理解確認、意向、質問、不安、家族相談希望。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顧客が銀行口座・預金のメリットだけを聞き、リスク説明を急いで終わらせたいと言った場合はどうするか。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アプリ、Web、対面で説明した内容とFAQの回答が違うことに気付いた場合はどうするか。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販売後に銀行口座・預金について苦情が出た場合、販売担当者だけで回答してよいか。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銀行口座・預金サービス販売における例外処理は、顧客利便性を理由に証跡、説明、同意、承認を省略するための手段ではない。販売担当者は、審査・引受連携の発生理由、銀行口座・預金への顧客影響、代替手段、再発防止の要否を記録し、販売管理者へ報告する。金銭影響、個人情報影響、苦情化、アプリ、Web、対面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ダミーまんなか銀行株式会社 販売推進部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銀行口座・預金サービス販売の通常手順では判断できない例外、期限超過、部門間判断相違がある。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銀行口座・預金に関する法令違反疑義、無資格販売、利益相反説明不足がある。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アプリ、Web、対面で広範な顧客影響、システム障害、誤表示、個人情報影響がある。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DFH-BNK-002 口座開設・本人確認業務マニュアル</w:t>
      </w:r>
    </w:p>
    <w:p>
      <w:pPr>
        <w:pStyle w:val="ListBullet"/>
        <w:spacing w:after="60"/>
      </w:pPr>
      <w:r>
        <w:rPr>
          <w:rFonts w:ascii="Calibri" w:hAnsi="Calibri" w:eastAsia="Yu Gothic"/>
          <w:sz w:val="21"/>
        </w:rPr>
        <w:t>DFH-BNK-011 預金保険・顧客通知運用手順</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実務検証用に、銀行口座・預金サービス販売の手順、判断基準、証跡、KPI、現場事例を具体化。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