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DFH-SAL-032 ダミーPAY・決済サービス販売マニュアル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DFH-SAL-032</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ウォレット、決済、送金サービス販売担当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ダミーPAY・決済サービス販売マニュアルに関する販売実務を、担当者の経験則に依存させず、商品案内から販売後フォローまで同じ粒度で実行するための手順である。決済サービス販売では、残高、チャージ、送金、返金、利用制限、資金保全、加盟店利用条件を説明する。障害時または不正疑義時の利用制限も説明対象に含める。 ダミーPAY・決済サービス販売では、顧客が見た表示、担当者が説明した内容、システムに残る同意、後続部署へ渡る申込情報が一連の証跡としてつながっていなければならない。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現場では、商品固有リスクの説明不足、販売対象外顧客への案内、審査保証表現が同時に起こることがある。ダミーペイメント株式会社 販売推進部は、個別担当者の注意喚起だけで終わらせず、資料、画面、承認経路、研修、委託先運用のどこに原因があるかを切り分ける。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ダミーPAY</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ダミーPAY・決済サービス販売の対象案件を受け付け、対象チャネル、対象商品、顧客区分、利用予定資料の版数を確認する。</w:t>
      </w:r>
    </w:p>
    <w:p>
      <w:pPr>
        <w:pStyle w:val="ListNumber"/>
        <w:spacing w:after="60"/>
      </w:pPr>
      <w:r>
        <w:rPr>
          <w:rFonts w:ascii="Calibri" w:hAnsi="Calibri" w:eastAsia="Yu Gothic"/>
          <w:sz w:val="21"/>
        </w:rPr>
        <w:t>ダミーPAYに関する顧客属性、既存契約、過去の問い合わせ、連絡同意、本人確認状況を確認する。</w:t>
      </w:r>
    </w:p>
    <w:p>
      <w:pPr>
        <w:pStyle w:val="ListNumber"/>
        <w:spacing w:after="60"/>
      </w:pPr>
      <w:r>
        <w:rPr>
          <w:rFonts w:ascii="Calibri" w:hAnsi="Calibri" w:eastAsia="Yu Gothic"/>
          <w:sz w:val="21"/>
        </w:rPr>
        <w:t>アプリ、Webで顧客が見る表示、担当者が使う説明資料、FAQ、申込画面が同一条件であることを確認する。</w:t>
      </w:r>
    </w:p>
    <w:p>
      <w:pPr>
        <w:pStyle w:val="ListNumber"/>
        <w:spacing w:after="60"/>
      </w:pPr>
      <w:r>
        <w:rPr>
          <w:rFonts w:ascii="Calibri" w:hAnsi="Calibri" w:eastAsia="Yu Gothic"/>
          <w:sz w:val="21"/>
        </w:rPr>
        <w:t>決済サービスの利用条件、チャージ、送金、資金保全説明を定義する。顧客の質問、迷い、不安、家族相談希望を販売可否判断に反映する。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販売後の問い合わせ、説明補足、解約兆候、苦情化懸念をダミーペイメント株式会社 販売推進部へ戻し、月次点検に反映する。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ダミーPAYに関する顧客属性、既存契約、過去の問い合わせ、販売制限、同意状況を確認する。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決済サービスの利用条件、チャージ、送金、資金保全説明を定義する。説明順序、禁止表現、追加確認の要否を判断し、顧客の質問を残す。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ダミーPAYの費用、リスク、取消条件、特典条件、顧客質問への回答が不足している。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顧客意向とダミーPAYの特性が合わない、理解不足が解消しない、本人確認または同意が未完了である。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顧客が理解していないまま、アプリ、Webで同意ボタン押下、申込署名、録音上の形式的回答を誘導すること。</w:t>
      </w:r>
    </w:p>
    <w:p>
      <w:pPr>
        <w:pStyle w:val="ListBullet"/>
        <w:spacing w:after="60"/>
      </w:pPr>
      <w:r>
        <w:rPr>
          <w:rFonts w:ascii="Calibri" w:hAnsi="Calibri" w:eastAsia="Yu Gothic"/>
          <w:sz w:val="21"/>
        </w:rPr>
        <w:t>ダミーPAYについて、審査、利回り、補償、特典、返金、税務効果など不確定事項を断定すること。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顧客の不安、苦情、迷い、家族相談希望を記録せず、ダミーPAY・決済サービス販売の処理を先に進めること。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DFH-SAL-032、顧客ID、申込ID、商品ID、担当者ID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ダミーPAYに関する例外、追加説明、販売見送り、第二線照会の判断根拠。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ダミーPAY・決済サービス販売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ダミーPAY説明補足率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ダミーPAYの説明資料と広告表示の条件が一致しない。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ダミーPAY・決済サービス販売マニュアルの運用では、商品案内を単発処理として閉じず、商品固有確認、審査・引受連携、販売後フォローまでを同じ管理単位で追跡する。日次確認はアプリ、Webの滞留と顧客連絡漏れを防ぐための統制であり、月次確認はダミーPAYの説明資料、画面、研修、委託先管理を見直すための統制である。ダミーPAY・決済サービス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ダミーPAYのKPI/KRI、販売苦情、説明不備、証跡欠落、サンプル点検結果を確認する。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ダミーPAY・決済サービス販売の証跡は、後日の苦情、監査、当局照会、システム障害時の顧客影響調査に耐える粒度で保存する。単に「ダミーPAY・決済サービス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DFH-SAL-032、顧客ID、申込ID、商品ID、担当者ID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ダミーPAYに関する例外、追加説明、販売見送り、第二線照会の判断根拠。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ダミーPAYの説明資料と広告表示の条件が一致しない。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アプリ、Webで想定される顧客接点が、文書上の対象チャネルと実際の運用で一致しているか確認する。</w:t>
      </w:r>
    </w:p>
    <w:p>
      <w:pPr>
        <w:pStyle w:val="ListBullet"/>
        <w:spacing w:after="60"/>
      </w:pPr>
      <w:r>
        <w:rPr>
          <w:rFonts w:ascii="Calibri" w:hAnsi="Calibri" w:eastAsia="Yu Gothic"/>
          <w:sz w:val="21"/>
        </w:rPr>
        <w:t>ダミーPAYに固有の説明事項、販売制限、資格要件、顧客属性条件が最新であるか確認する。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顧客からの質問、迷い、不満、家族相談希望が、ダミーPAY・決済サービス販売の販売可否判断に反映されているか確認する。</w:t>
      </w:r>
    </w:p>
    <w:p>
      <w:pPr>
        <w:pStyle w:val="ListBullet"/>
        <w:spacing w:after="60"/>
      </w:pPr>
      <w:r>
        <w:rPr>
          <w:rFonts w:ascii="Calibri" w:hAnsi="Calibri" w:eastAsia="Yu Gothic"/>
          <w:sz w:val="21"/>
        </w:rPr>
        <w:t>月次KPI/KRIの悪化が、担当者個人の問題、資料不備、アプリ、Webの導線設計、ダミーPAYの商品条件、委託先運用のどこに起因するかを切り分ける。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ダミーPAY・決済サービス販売の不備を検出した場合は、個別案件の修正だけで完了させず、同種不備が再発する構造を確認する。是正分類は、担当者教育、説明資料、アプリ、Webの画面・応対導線、ダミーPAY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ダミーPAYの費用、リスク、取消条件、特典条件の一部説明漏れ。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ダミーペイメント株式会社 販売推進部は、本書の内容を販売担当者、管理者、代理店、委託先に周知し、ダミーPAYの商品改定、法令改正、アプリ、Web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ダミーPAY・決済サービス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新任担当者は、ダミーPAYの販売開始前に商品別研修、顧客説明研修、個人情報・AML/CFT研修を完了する。</w:t>
      </w:r>
    </w:p>
    <w:p>
      <w:pPr>
        <w:pStyle w:val="ListBullet"/>
        <w:spacing w:after="60"/>
      </w:pPr>
      <w:r>
        <w:rPr>
          <w:rFonts w:ascii="Calibri" w:hAnsi="Calibri" w:eastAsia="Yu Gothic"/>
          <w:sz w:val="21"/>
        </w:rPr>
        <w:t>ダミーPAY・決済サービス販売の販売権限は、研修受講、理解度テスト、ロールプレイ評価、管理者承認を満たした担当者に限定する。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ダミーPAY・決済サービス販売を販売現場で運用する際は、顧客に見える説明と、社内で処理される承認・証跡・後続連携を分けて考える必要がある。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商品案内が起点となる案件では、誰が正本を更新し、誰がアプリ、Web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ダミーPAY・決済サービス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ダミーPAY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審査・引受連携が必要な案件では、承認者が単に「可」と回答するだけでは足りない。承認ログには、顧客影響、代替案、追加説明の要否、アプリ、Web上の表示変更要否、ダミーペイメント株式会社 販売推進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ダミーPAY・決済サービス販売は契約成立または申込受付で終わらない。販売後の問い合わせ、初回利用停滞、早期解約、不満申出は、販売時の説明、適合性確認、同意取得、資料表示に戻して原因を確認する。ダミーPAY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ダミーPAY・決済サービス販売の件数や処理期限だけを見ると、販売品質の悪化を見落とす。商品固有リスクの説明不足、審査保証表現、証跡欠落、説明補足、販売見送り、早期解約を同じ案件群で突合し、アプリ、Web固有の問題なのか、ダミーPAY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決済サービスでは、チャージ残高、送金、返金、利用制限を分けて説明する。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資金保全の説明を、顧客が資金を失わない保証と誤解しないようにする。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不正疑義時の利用停止や本人確認追加を事前に案内する。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加盟店利用条件やポイント付与条件を支払手段の説明と混同しない。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ダミーPAYの説明資料、FAQ、広告表示、画面文言の版数。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顧客がダミーPAYのメリットだけを聞き、リスク説明を急いで終わらせたいと言った場合はどうするか。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販売後にダミーPAYについて苦情が出た場合、販売担当者だけで回答してよいか。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ダミーPAY・決済サービス販売における例外処理は、顧客利便性を理由に証跡、説明、同意、承認を省略するための手段ではない。販売担当者は、審査・引受連携の発生理由、ダミーPAYへの顧客影響、代替手段、再発防止の要否を記録し、販売管理者へ報告する。金銭影響、個人情報影響、苦情化、アプリ、Web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販売推進部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ダミーPAY・決済サービス販売の通常手順では判断できない例外、期限超過、部門間判断相違がある。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ダミーPAYに関する法令違反疑義、無資格販売、利益相反説明不足がある。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DFH-PAY-001 資金決済業務基本規程</w:t>
      </w:r>
    </w:p>
    <w:p>
      <w:pPr>
        <w:pStyle w:val="ListBullet"/>
        <w:spacing w:after="60"/>
      </w:pPr>
      <w:r>
        <w:rPr>
          <w:rFonts w:ascii="Calibri" w:hAnsi="Calibri" w:eastAsia="Yu Gothic"/>
          <w:sz w:val="21"/>
        </w:rPr>
        <w:t>DFH-PAY-014 資金保全・分別管理マニュアル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実務検証用に、ダミーPAY・決済サービス販売の手順、判断基準、証跡、KPI、現場事例を具体化。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DFH-SAL-032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