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Yu Gothic" w:hAnsi="Yu Gothic" w:eastAsia="Yu Gothic"/>
          <w:b/>
          <w:color w:val="1F3864"/>
          <w:sz w:val="32"/>
        </w:rPr>
        <w:t>重要な会計方針マニュアル</w:t>
      </w:r>
    </w:p>
    <w:p>
      <w:pPr>
        <w:jc w:val="center"/>
      </w:pPr>
      <w:r>
        <w:rPr>
          <w:rFonts w:ascii="Yu Gothic" w:hAnsi="Yu Gothic" w:eastAsia="Yu Gothic"/>
          <w:b w:val="0"/>
          <w:color w:val="595959"/>
          <w:sz w:val="18"/>
        </w:rPr>
        <w:t>文書番号：C-03　／　デモA株式会社　／　版数 v4.0　／　2024年4月1日</w:t>
      </w:r>
    </w:p>
    <w:tbl>
      <w:tblPr>
        <w:tblStyle w:val="TableGrid"/>
        <w:tblW w:type="auto" w:w="0"/>
        <w:jc w:val="center"/>
        <w:tblLook w:firstColumn="1" w:firstRow="1" w:lastColumn="0" w:lastRow="0" w:noHBand="0" w:noVBand="1" w:val="04A0"/>
      </w:tblPr>
      <w:tblGrid>
        <w:gridCol w:w="4986"/>
        <w:gridCol w:w="4986"/>
      </w:tblGrid>
      <w:tr>
        <w:tc>
          <w:tcPr>
            <w:tcW w:type="dxa" w:w="4986"/>
          </w:tcPr>
          <w:p>
            <w:r>
              <w:rPr>
                <w:rFonts w:ascii="Yu Gothic" w:hAnsi="Yu Gothic" w:eastAsia="Yu Gothic"/>
                <w:b/>
                <w:sz w:val="18"/>
              </w:rPr>
              <w:t>文書番号</w:t>
            </w:r>
          </w:p>
        </w:tc>
        <w:tc>
          <w:tcPr>
            <w:tcW w:type="dxa" w:w="4986"/>
          </w:tcPr>
          <w:p>
            <w:r>
              <w:rPr>
                <w:rFonts w:ascii="Yu Gothic" w:hAnsi="Yu Gothic" w:eastAsia="Yu Gothic"/>
                <w:b w:val="0"/>
                <w:sz w:val="18"/>
              </w:rPr>
              <w:t>C-03</w:t>
            </w:r>
          </w:p>
        </w:tc>
      </w:tr>
      <w:tr>
        <w:tc>
          <w:tcPr>
            <w:tcW w:type="dxa" w:w="4986"/>
          </w:tcPr>
          <w:p>
            <w:r>
              <w:rPr>
                <w:rFonts w:ascii="Yu Gothic" w:hAnsi="Yu Gothic" w:eastAsia="Yu Gothic"/>
                <w:b/>
                <w:sz w:val="18"/>
              </w:rPr>
              <w:t>主管部門</w:t>
            </w:r>
          </w:p>
        </w:tc>
        <w:tc>
          <w:tcPr>
            <w:tcW w:type="dxa" w:w="4986"/>
          </w:tcPr>
          <w:p>
            <w:r>
              <w:rPr>
                <w:rFonts w:ascii="Yu Gothic" w:hAnsi="Yu Gothic" w:eastAsia="Yu Gothic"/>
                <w:b w:val="0"/>
                <w:sz w:val="18"/>
              </w:rPr>
              <w:t>経理部</w:t>
            </w:r>
          </w:p>
        </w:tc>
      </w:tr>
      <w:tr>
        <w:tc>
          <w:tcPr>
            <w:tcW w:type="dxa" w:w="4986"/>
          </w:tcPr>
          <w:p>
            <w:r>
              <w:rPr>
                <w:rFonts w:ascii="Yu Gothic" w:hAnsi="Yu Gothic" w:eastAsia="Yu Gothic"/>
                <w:b/>
                <w:sz w:val="18"/>
              </w:rPr>
              <w:t>承認</w:t>
            </w:r>
          </w:p>
        </w:tc>
        <w:tc>
          <w:tcPr>
            <w:tcW w:type="dxa" w:w="4986"/>
          </w:tcPr>
          <w:p>
            <w:r>
              <w:rPr>
                <w:rFonts w:ascii="Yu Gothic" w:hAnsi="Yu Gothic" w:eastAsia="Yu Gothic"/>
                <w:b w:val="0"/>
                <w:sz w:val="18"/>
              </w:rPr>
              <w:t>取締役CFO 渡辺 正博（E0002）</w:t>
            </w:r>
          </w:p>
        </w:tc>
      </w:tr>
      <w:tr>
        <w:tc>
          <w:tcPr>
            <w:tcW w:type="dxa" w:w="4986"/>
          </w:tcPr>
          <w:p>
            <w:r>
              <w:rPr>
                <w:rFonts w:ascii="Yu Gothic" w:hAnsi="Yu Gothic" w:eastAsia="Yu Gothic"/>
                <w:b/>
                <w:sz w:val="18"/>
              </w:rPr>
              <w:t>上位規程</w:t>
            </w:r>
          </w:p>
        </w:tc>
        <w:tc>
          <w:tcPr>
            <w:tcW w:type="dxa" w:w="4986"/>
          </w:tcPr>
          <w:p>
            <w:r>
              <w:rPr>
                <w:rFonts w:ascii="Yu Gothic" w:hAnsi="Yu Gothic" w:eastAsia="Yu Gothic"/>
                <w:b w:val="0"/>
                <w:sz w:val="18"/>
              </w:rPr>
              <w:t>経理規程（R16）第19条</w:t>
            </w:r>
          </w:p>
        </w:tc>
      </w:tr>
      <w:tr>
        <w:tc>
          <w:tcPr>
            <w:tcW w:type="dxa" w:w="4986"/>
          </w:tcPr>
          <w:p>
            <w:r>
              <w:rPr>
                <w:rFonts w:ascii="Yu Gothic" w:hAnsi="Yu Gothic" w:eastAsia="Yu Gothic"/>
                <w:b/>
                <w:sz w:val="18"/>
              </w:rPr>
              <w:t>適用範囲</w:t>
            </w:r>
          </w:p>
        </w:tc>
        <w:tc>
          <w:tcPr>
            <w:tcW w:type="dxa" w:w="4986"/>
          </w:tcPr>
          <w:p>
            <w:r>
              <w:rPr>
                <w:rFonts w:ascii="Yu Gothic" w:hAnsi="Yu Gothic" w:eastAsia="Yu Gothic"/>
                <w:b w:val="0"/>
                <w:sz w:val="18"/>
              </w:rPr>
              <w:t>デモA株式会社及び連結子会社4社（グループ統一会計方針書 C-06 と一体で運用）</w:t>
            </w:r>
          </w:p>
        </w:tc>
      </w:tr>
      <w:tr>
        <w:tc>
          <w:tcPr>
            <w:tcW w:type="dxa" w:w="4986"/>
          </w:tcPr>
          <w:p>
            <w:r>
              <w:rPr>
                <w:rFonts w:ascii="Yu Gothic" w:hAnsi="Yu Gothic" w:eastAsia="Yu Gothic"/>
                <w:b/>
                <w:sz w:val="18"/>
              </w:rPr>
              <w:t>関連統制</w:t>
            </w:r>
          </w:p>
        </w:tc>
        <w:tc>
          <w:tcPr>
            <w:tcW w:type="dxa" w:w="4986"/>
          </w:tcPr>
          <w:p>
            <w:r>
              <w:rPr>
                <w:rFonts w:ascii="Yu Gothic" w:hAnsi="Yu Gothic" w:eastAsia="Yu Gothic"/>
                <w:b w:val="0"/>
                <w:sz w:val="18"/>
              </w:rPr>
              <w:t>FCRP-003/005</w:t>
            </w:r>
          </w:p>
        </w:tc>
      </w:tr>
      <w:tr>
        <w:tc>
          <w:tcPr>
            <w:tcW w:type="dxa" w:w="4986"/>
          </w:tcPr>
          <w:p>
            <w:r>
              <w:rPr>
                <w:rFonts w:ascii="Yu Gothic" w:hAnsi="Yu Gothic" w:eastAsia="Yu Gothic"/>
                <w:b/>
                <w:sz w:val="18"/>
              </w:rPr>
              <w:t>次回レビュー</w:t>
            </w:r>
          </w:p>
        </w:tc>
        <w:tc>
          <w:tcPr>
            <w:tcW w:type="dxa" w:w="4986"/>
          </w:tcPr>
          <w:p>
            <w:r>
              <w:rPr>
                <w:rFonts w:ascii="Yu Gothic" w:hAnsi="Yu Gothic" w:eastAsia="Yu Gothic"/>
                <w:b w:val="0"/>
                <w:sz w:val="18"/>
              </w:rPr>
              <w:t>2027年3月31日</w:t>
            </w:r>
          </w:p>
        </w:tc>
      </w:tr>
    </w:tbl>
    <w:p/>
    <w:p>
      <w:r>
        <w:rPr>
          <w:rFonts w:ascii="Yu Gothic" w:hAnsi="Yu Gothic" w:eastAsia="Yu Gothic"/>
          <w:b/>
          <w:color w:val="2F5597"/>
          <w:sz w:val="26"/>
        </w:rPr>
        <w:t>1. 本マニュアルの位置づけ</w:t>
      </w:r>
    </w:p>
    <w:p>
      <w:r>
        <w:rPr>
          <w:rFonts w:ascii="Yu Gothic" w:hAnsi="Yu Gothic" w:eastAsia="Yu Gothic"/>
          <w:b w:val="0"/>
          <w:sz w:val="20"/>
        </w:rPr>
        <w:t>本マニュアルは、経理規程（R16）第19条に基づき、当社グループが採用する重要な会計方針を一覧化したものである。個々の会計処理の具体的な算定手順は、本マニュアルが参照する各算定要領（F-12〜F-21）による。</w:t>
      </w:r>
    </w:p>
    <w:p>
      <w:r>
        <w:rPr>
          <w:rFonts w:ascii="Yu Gothic" w:hAnsi="Yu Gothic" w:eastAsia="Yu Gothic"/>
          <w:b w:val="0"/>
          <w:sz w:val="20"/>
        </w:rPr>
        <w:t>会計方針の変更は取締役会の決議を要する（R16 第4条3項）。変更した場合は、変更の内容、理由及び影響額を財務諸表に注記する。</w:t>
      </w:r>
    </w:p>
    <w:p>
      <w:r>
        <w:rPr>
          <w:rFonts w:ascii="Yu Gothic" w:hAnsi="Yu Gothic" w:eastAsia="Yu Gothic"/>
          <w:b/>
          <w:color w:val="2F5597"/>
          <w:sz w:val="26"/>
        </w:rPr>
        <w:t>2. 適用する会計基準</w:t>
      </w:r>
    </w:p>
    <w:tbl>
      <w:tblPr>
        <w:tblStyle w:val="TableGrid"/>
        <w:tblW w:type="auto" w:w="0"/>
        <w:tblLook w:firstColumn="1" w:firstRow="1" w:lastColumn="0" w:lastRow="0" w:noHBand="0" w:noVBand="1" w:val="04A0"/>
      </w:tblPr>
      <w:tblGrid>
        <w:gridCol w:w="3324"/>
        <w:gridCol w:w="3324"/>
        <w:gridCol w:w="3324"/>
      </w:tblGrid>
      <w:tr>
        <w:tc>
          <w:tcPr>
            <w:tcW w:type="dxa" w:w="1701"/>
          </w:tcPr>
          <w:p>
            <w:pPr>
              <w:jc w:val="center"/>
            </w:pPr>
            <w:r>
              <w:rPr>
                <w:rFonts w:ascii="Yu Gothic" w:hAnsi="Yu Gothic" w:eastAsia="Yu Gothic"/>
                <w:b/>
                <w:sz w:val="17"/>
              </w:rPr>
              <w:t>区分</w:t>
            </w:r>
          </w:p>
        </w:tc>
        <w:tc>
          <w:tcPr>
            <w:tcW w:type="dxa" w:w="4535"/>
          </w:tcPr>
          <w:p>
            <w:pPr>
              <w:jc w:val="center"/>
            </w:pPr>
            <w:r>
              <w:rPr>
                <w:rFonts w:ascii="Yu Gothic" w:hAnsi="Yu Gothic" w:eastAsia="Yu Gothic"/>
                <w:b/>
                <w:sz w:val="17"/>
              </w:rPr>
              <w:t>適用する基準</w:t>
            </w:r>
          </w:p>
        </w:tc>
        <w:tc>
          <w:tcPr>
            <w:tcW w:type="dxa" w:w="3402"/>
          </w:tcPr>
          <w:p>
            <w:pPr>
              <w:jc w:val="center"/>
            </w:pPr>
            <w:r>
              <w:rPr>
                <w:rFonts w:ascii="Yu Gothic" w:hAnsi="Yu Gothic" w:eastAsia="Yu Gothic"/>
                <w:b/>
                <w:sz w:val="17"/>
              </w:rPr>
              <w:t>備考</w:t>
            </w:r>
          </w:p>
        </w:tc>
      </w:tr>
      <w:tr>
        <w:tc>
          <w:tcPr>
            <w:tcW w:type="dxa" w:w="1701"/>
          </w:tcPr>
          <w:p>
            <w:r>
              <w:rPr>
                <w:rFonts w:ascii="Yu Gothic" w:hAnsi="Yu Gothic" w:eastAsia="Yu Gothic"/>
                <w:b w:val="0"/>
                <w:sz w:val="17"/>
              </w:rPr>
              <w:t>一般原則</w:t>
            </w:r>
          </w:p>
        </w:tc>
        <w:tc>
          <w:tcPr>
            <w:tcW w:type="dxa" w:w="4535"/>
          </w:tcPr>
          <w:p>
            <w:r>
              <w:rPr>
                <w:rFonts w:ascii="Yu Gothic" w:hAnsi="Yu Gothic" w:eastAsia="Yu Gothic"/>
                <w:b w:val="0"/>
                <w:sz w:val="17"/>
              </w:rPr>
              <w:t>日本において一般に公正妥当と認められる企業会計の基準（日本基準）</w:t>
            </w:r>
          </w:p>
        </w:tc>
        <w:tc>
          <w:tcPr>
            <w:tcW w:type="dxa" w:w="3402"/>
          </w:tcPr>
          <w:p>
            <w:r>
              <w:rPr>
                <w:rFonts w:ascii="Yu Gothic" w:hAnsi="Yu Gothic" w:eastAsia="Yu Gothic"/>
                <w:b w:val="0"/>
                <w:sz w:val="17"/>
              </w:rPr>
              <w:t>IFRS・米国基準は適用しない</w:t>
            </w:r>
          </w:p>
        </w:tc>
      </w:tr>
      <w:tr>
        <w:tc>
          <w:tcPr>
            <w:tcW w:type="dxa" w:w="1701"/>
          </w:tcPr>
          <w:p>
            <w:r>
              <w:rPr>
                <w:rFonts w:ascii="Yu Gothic" w:hAnsi="Yu Gothic" w:eastAsia="Yu Gothic"/>
                <w:b w:val="0"/>
                <w:sz w:val="17"/>
              </w:rPr>
              <w:t>連結</w:t>
            </w:r>
          </w:p>
        </w:tc>
        <w:tc>
          <w:tcPr>
            <w:tcW w:type="dxa" w:w="4535"/>
          </w:tcPr>
          <w:p>
            <w:r>
              <w:rPr>
                <w:rFonts w:ascii="Yu Gothic" w:hAnsi="Yu Gothic" w:eastAsia="Yu Gothic"/>
                <w:b w:val="0"/>
                <w:sz w:val="17"/>
              </w:rPr>
              <w:t>連結財務諸表に関する会計基準（企業会計基準第22号）</w:t>
            </w:r>
          </w:p>
        </w:tc>
        <w:tc>
          <w:tcPr>
            <w:tcW w:type="dxa" w:w="3402"/>
          </w:tcPr>
          <w:p>
            <w:r>
              <w:rPr>
                <w:rFonts w:ascii="Yu Gothic" w:hAnsi="Yu Gothic" w:eastAsia="Yu Gothic"/>
                <w:b w:val="0"/>
                <w:sz w:val="17"/>
              </w:rPr>
              <w:t>―</w:t>
            </w:r>
          </w:p>
        </w:tc>
      </w:tr>
      <w:tr>
        <w:tc>
          <w:tcPr>
            <w:tcW w:type="dxa" w:w="1701"/>
          </w:tcPr>
          <w:p>
            <w:r>
              <w:rPr>
                <w:rFonts w:ascii="Yu Gothic" w:hAnsi="Yu Gothic" w:eastAsia="Yu Gothic"/>
                <w:b w:val="0"/>
                <w:sz w:val="17"/>
              </w:rPr>
              <w:t>収益認識</w:t>
            </w:r>
          </w:p>
        </w:tc>
        <w:tc>
          <w:tcPr>
            <w:tcW w:type="dxa" w:w="4535"/>
          </w:tcPr>
          <w:p>
            <w:r>
              <w:rPr>
                <w:rFonts w:ascii="Yu Gothic" w:hAnsi="Yu Gothic" w:eastAsia="Yu Gothic"/>
                <w:b w:val="0"/>
                <w:sz w:val="17"/>
              </w:rPr>
              <w:t>収益認識に関する会計基準（企業会計基準第29号）</w:t>
            </w:r>
          </w:p>
        </w:tc>
        <w:tc>
          <w:tcPr>
            <w:tcW w:type="dxa" w:w="3402"/>
          </w:tcPr>
          <w:p>
            <w:r>
              <w:rPr>
                <w:rFonts w:ascii="Yu Gothic" w:hAnsi="Yu Gothic" w:eastAsia="Yu Gothic"/>
                <w:b w:val="0"/>
                <w:sz w:val="17"/>
              </w:rPr>
              <w:t>FY2021期首より適用</w:t>
            </w:r>
          </w:p>
        </w:tc>
      </w:tr>
      <w:tr>
        <w:tc>
          <w:tcPr>
            <w:tcW w:type="dxa" w:w="1701"/>
          </w:tcPr>
          <w:p>
            <w:r>
              <w:rPr>
                <w:rFonts w:ascii="Yu Gothic" w:hAnsi="Yu Gothic" w:eastAsia="Yu Gothic"/>
                <w:b w:val="0"/>
                <w:sz w:val="17"/>
              </w:rPr>
              <w:t>税効果</w:t>
            </w:r>
          </w:p>
        </w:tc>
        <w:tc>
          <w:tcPr>
            <w:tcW w:type="dxa" w:w="4535"/>
          </w:tcPr>
          <w:p>
            <w:r>
              <w:rPr>
                <w:rFonts w:ascii="Yu Gothic" w:hAnsi="Yu Gothic" w:eastAsia="Yu Gothic"/>
                <w:b w:val="0"/>
                <w:sz w:val="17"/>
              </w:rPr>
              <w:t>税効果会計に係る会計基準、回収可能性適用指針（企業会計基準適用指針第26号）</w:t>
            </w:r>
          </w:p>
        </w:tc>
        <w:tc>
          <w:tcPr>
            <w:tcW w:type="dxa" w:w="3402"/>
          </w:tcPr>
          <w:p>
            <w:r>
              <w:rPr>
                <w:rFonts w:ascii="Yu Gothic" w:hAnsi="Yu Gothic" w:eastAsia="Yu Gothic"/>
                <w:b w:val="0"/>
                <w:sz w:val="17"/>
              </w:rPr>
              <w:t>―</w:t>
            </w:r>
          </w:p>
        </w:tc>
      </w:tr>
      <w:tr>
        <w:tc>
          <w:tcPr>
            <w:tcW w:type="dxa" w:w="1701"/>
          </w:tcPr>
          <w:p>
            <w:r>
              <w:rPr>
                <w:rFonts w:ascii="Yu Gothic" w:hAnsi="Yu Gothic" w:eastAsia="Yu Gothic"/>
                <w:b w:val="0"/>
                <w:sz w:val="17"/>
              </w:rPr>
              <w:t>退職給付</w:t>
            </w:r>
          </w:p>
        </w:tc>
        <w:tc>
          <w:tcPr>
            <w:tcW w:type="dxa" w:w="4535"/>
          </w:tcPr>
          <w:p>
            <w:r>
              <w:rPr>
                <w:rFonts w:ascii="Yu Gothic" w:hAnsi="Yu Gothic" w:eastAsia="Yu Gothic"/>
                <w:b w:val="0"/>
                <w:sz w:val="17"/>
              </w:rPr>
              <w:t>退職給付に関する会計基準（企業会計基準第26号）</w:t>
            </w:r>
          </w:p>
        </w:tc>
        <w:tc>
          <w:tcPr>
            <w:tcW w:type="dxa" w:w="3402"/>
          </w:tcPr>
          <w:p>
            <w:r>
              <w:rPr>
                <w:rFonts w:ascii="Yu Gothic" w:hAnsi="Yu Gothic" w:eastAsia="Yu Gothic"/>
                <w:b w:val="0"/>
                <w:sz w:val="17"/>
              </w:rPr>
              <w:t>―</w:t>
            </w:r>
          </w:p>
        </w:tc>
      </w:tr>
      <w:tr>
        <w:tc>
          <w:tcPr>
            <w:tcW w:type="dxa" w:w="1701"/>
          </w:tcPr>
          <w:p>
            <w:r>
              <w:rPr>
                <w:rFonts w:ascii="Yu Gothic" w:hAnsi="Yu Gothic" w:eastAsia="Yu Gothic"/>
                <w:b w:val="0"/>
                <w:sz w:val="17"/>
              </w:rPr>
              <w:t>減損</w:t>
            </w:r>
          </w:p>
        </w:tc>
        <w:tc>
          <w:tcPr>
            <w:tcW w:type="dxa" w:w="4535"/>
          </w:tcPr>
          <w:p>
            <w:r>
              <w:rPr>
                <w:rFonts w:ascii="Yu Gothic" w:hAnsi="Yu Gothic" w:eastAsia="Yu Gothic"/>
                <w:b w:val="0"/>
                <w:sz w:val="17"/>
              </w:rPr>
              <w:t>固定資産の減損に係る会計基準</w:t>
            </w:r>
          </w:p>
        </w:tc>
        <w:tc>
          <w:tcPr>
            <w:tcW w:type="dxa" w:w="3402"/>
          </w:tcPr>
          <w:p>
            <w:r>
              <w:rPr>
                <w:rFonts w:ascii="Yu Gothic" w:hAnsi="Yu Gothic" w:eastAsia="Yu Gothic"/>
                <w:b w:val="0"/>
                <w:sz w:val="17"/>
              </w:rPr>
              <w:t>―</w:t>
            </w:r>
          </w:p>
        </w:tc>
      </w:tr>
      <w:tr>
        <w:tc>
          <w:tcPr>
            <w:tcW w:type="dxa" w:w="1701"/>
          </w:tcPr>
          <w:p>
            <w:r>
              <w:rPr>
                <w:rFonts w:ascii="Yu Gothic" w:hAnsi="Yu Gothic" w:eastAsia="Yu Gothic"/>
                <w:b w:val="0"/>
                <w:sz w:val="17"/>
              </w:rPr>
              <w:t>棚卸資産</w:t>
            </w:r>
          </w:p>
        </w:tc>
        <w:tc>
          <w:tcPr>
            <w:tcW w:type="dxa" w:w="4535"/>
          </w:tcPr>
          <w:p>
            <w:r>
              <w:rPr>
                <w:rFonts w:ascii="Yu Gothic" w:hAnsi="Yu Gothic" w:eastAsia="Yu Gothic"/>
                <w:b w:val="0"/>
                <w:sz w:val="17"/>
              </w:rPr>
              <w:t>棚卸資産の評価に関する会計基準（企業会計基準第9号）</w:t>
            </w:r>
          </w:p>
        </w:tc>
        <w:tc>
          <w:tcPr>
            <w:tcW w:type="dxa" w:w="3402"/>
          </w:tcPr>
          <w:p>
            <w:r>
              <w:rPr>
                <w:rFonts w:ascii="Yu Gothic" w:hAnsi="Yu Gothic" w:eastAsia="Yu Gothic"/>
                <w:b w:val="0"/>
                <w:sz w:val="17"/>
              </w:rPr>
              <w:t>―</w:t>
            </w:r>
          </w:p>
        </w:tc>
      </w:tr>
      <w:tr>
        <w:tc>
          <w:tcPr>
            <w:tcW w:type="dxa" w:w="1701"/>
          </w:tcPr>
          <w:p>
            <w:r>
              <w:rPr>
                <w:rFonts w:ascii="Yu Gothic" w:hAnsi="Yu Gothic" w:eastAsia="Yu Gothic"/>
                <w:b w:val="0"/>
                <w:sz w:val="17"/>
              </w:rPr>
              <w:t>外貨換算</w:t>
            </w:r>
          </w:p>
        </w:tc>
        <w:tc>
          <w:tcPr>
            <w:tcW w:type="dxa" w:w="4535"/>
          </w:tcPr>
          <w:p>
            <w:r>
              <w:rPr>
                <w:rFonts w:ascii="Yu Gothic" w:hAnsi="Yu Gothic" w:eastAsia="Yu Gothic"/>
                <w:b w:val="0"/>
                <w:sz w:val="17"/>
              </w:rPr>
              <w:t>外貨建取引等会計処理基準</w:t>
            </w:r>
          </w:p>
        </w:tc>
        <w:tc>
          <w:tcPr>
            <w:tcW w:type="dxa" w:w="3402"/>
          </w:tcPr>
          <w:p>
            <w:r>
              <w:rPr>
                <w:rFonts w:ascii="Yu Gothic" w:hAnsi="Yu Gothic" w:eastAsia="Yu Gothic"/>
                <w:b w:val="0"/>
                <w:sz w:val="17"/>
              </w:rPr>
              <w:t>―</w:t>
            </w:r>
          </w:p>
        </w:tc>
      </w:tr>
      <w:tr>
        <w:tc>
          <w:tcPr>
            <w:tcW w:type="dxa" w:w="1701"/>
          </w:tcPr>
          <w:p>
            <w:r>
              <w:rPr>
                <w:rFonts w:ascii="Yu Gothic" w:hAnsi="Yu Gothic" w:eastAsia="Yu Gothic"/>
                <w:b w:val="0"/>
                <w:sz w:val="17"/>
              </w:rPr>
              <w:t>リース</w:t>
            </w:r>
          </w:p>
        </w:tc>
        <w:tc>
          <w:tcPr>
            <w:tcW w:type="dxa" w:w="4535"/>
          </w:tcPr>
          <w:p>
            <w:r>
              <w:rPr>
                <w:rFonts w:ascii="Yu Gothic" w:hAnsi="Yu Gothic" w:eastAsia="Yu Gothic"/>
                <w:b w:val="0"/>
                <w:sz w:val="17"/>
              </w:rPr>
              <w:t>リース取引に関する会計基準（企業会計基準第13号）</w:t>
            </w:r>
          </w:p>
        </w:tc>
        <w:tc>
          <w:tcPr>
            <w:tcW w:type="dxa" w:w="3402"/>
          </w:tcPr>
          <w:p>
            <w:r>
              <w:rPr>
                <w:rFonts w:ascii="Yu Gothic" w:hAnsi="Yu Gothic" w:eastAsia="Yu Gothic"/>
                <w:b w:val="0"/>
                <w:sz w:val="17"/>
              </w:rPr>
              <w:t>★企業会計基準第34号（新リース基準）はFY2027期首より適用予定。対応中（E-15 No.1）</w:t>
            </w:r>
          </w:p>
        </w:tc>
      </w:tr>
    </w:tbl>
    <w:p/>
    <w:p>
      <w:r>
        <w:rPr>
          <w:rFonts w:ascii="Yu Gothic" w:hAnsi="Yu Gothic" w:eastAsia="Yu Gothic"/>
          <w:b/>
          <w:color w:val="2F5597"/>
          <w:sz w:val="26"/>
        </w:rPr>
        <w:t>3. 重要な会計方針</w:t>
      </w:r>
    </w:p>
    <w:p>
      <w:r>
        <w:rPr>
          <w:rFonts w:ascii="Yu Gothic" w:hAnsi="Yu Gothic" w:eastAsia="Yu Gothic"/>
          <w:b/>
          <w:color w:val="1F3864"/>
          <w:sz w:val="22"/>
        </w:rPr>
        <w:t>3-1. 収益の認識基準</w:t>
      </w:r>
    </w:p>
    <w:tbl>
      <w:tblPr>
        <w:tblStyle w:val="TableGrid"/>
        <w:tblW w:type="auto" w:w="0"/>
        <w:tblLook w:firstColumn="1" w:firstRow="1" w:lastColumn="0" w:lastRow="0" w:noHBand="0" w:noVBand="1" w:val="04A0"/>
      </w:tblPr>
      <w:tblGrid>
        <w:gridCol w:w="2493"/>
        <w:gridCol w:w="2493"/>
        <w:gridCol w:w="2493"/>
        <w:gridCol w:w="2493"/>
      </w:tblGrid>
      <w:tr>
        <w:tc>
          <w:tcPr>
            <w:tcW w:type="dxa" w:w="1701"/>
          </w:tcPr>
          <w:p>
            <w:pPr>
              <w:jc w:val="center"/>
            </w:pPr>
            <w:r>
              <w:rPr>
                <w:rFonts w:ascii="Yu Gothic" w:hAnsi="Yu Gothic" w:eastAsia="Yu Gothic"/>
                <w:b/>
                <w:sz w:val="17"/>
              </w:rPr>
              <w:t>取引類型</w:t>
            </w:r>
          </w:p>
        </w:tc>
        <w:tc>
          <w:tcPr>
            <w:tcW w:type="dxa" w:w="1814"/>
          </w:tcPr>
          <w:p>
            <w:pPr>
              <w:jc w:val="center"/>
            </w:pPr>
            <w:r>
              <w:rPr>
                <w:rFonts w:ascii="Yu Gothic" w:hAnsi="Yu Gothic" w:eastAsia="Yu Gothic"/>
                <w:b/>
                <w:sz w:val="17"/>
              </w:rPr>
              <w:t>履行義務の充足時点</w:t>
            </w:r>
          </w:p>
        </w:tc>
        <w:tc>
          <w:tcPr>
            <w:tcW w:type="dxa" w:w="3402"/>
          </w:tcPr>
          <w:p>
            <w:pPr>
              <w:jc w:val="center"/>
            </w:pPr>
            <w:r>
              <w:rPr>
                <w:rFonts w:ascii="Yu Gothic" w:hAnsi="Yu Gothic" w:eastAsia="Yu Gothic"/>
                <w:b/>
                <w:sz w:val="17"/>
              </w:rPr>
              <w:t>認識基準</w:t>
            </w:r>
          </w:p>
        </w:tc>
        <w:tc>
          <w:tcPr>
            <w:tcW w:type="dxa" w:w="2721"/>
          </w:tcPr>
          <w:p>
            <w:pPr>
              <w:jc w:val="center"/>
            </w:pPr>
            <w:r>
              <w:rPr>
                <w:rFonts w:ascii="Yu Gothic" w:hAnsi="Yu Gothic" w:eastAsia="Yu Gothic"/>
                <w:b/>
                <w:sz w:val="17"/>
              </w:rPr>
              <w:t>留意点</w:t>
            </w:r>
          </w:p>
        </w:tc>
      </w:tr>
      <w:tr>
        <w:tc>
          <w:tcPr>
            <w:tcW w:type="dxa" w:w="1701"/>
          </w:tcPr>
          <w:p>
            <w:r>
              <w:rPr>
                <w:rFonts w:ascii="Yu Gothic" w:hAnsi="Yu Gothic" w:eastAsia="Yu Gothic"/>
                <w:b w:val="0"/>
                <w:sz w:val="17"/>
              </w:rPr>
              <w:t>製品の販売（国内）</w:t>
            </w:r>
          </w:p>
        </w:tc>
        <w:tc>
          <w:tcPr>
            <w:tcW w:type="dxa" w:w="1814"/>
          </w:tcPr>
          <w:p>
            <w:r>
              <w:rPr>
                <w:rFonts w:ascii="Yu Gothic" w:hAnsi="Yu Gothic" w:eastAsia="Yu Gothic"/>
                <w:b w:val="0"/>
                <w:sz w:val="17"/>
              </w:rPr>
              <w:t>顧客への引渡し時</w:t>
            </w:r>
          </w:p>
        </w:tc>
        <w:tc>
          <w:tcPr>
            <w:tcW w:type="dxa" w:w="3402"/>
          </w:tcPr>
          <w:p>
            <w:r>
              <w:rPr>
                <w:rFonts w:ascii="Yu Gothic" w:hAnsi="Yu Gothic" w:eastAsia="Yu Gothic"/>
                <w:b w:val="0"/>
                <w:sz w:val="17"/>
              </w:rPr>
              <w:t>出荷基準（出荷時点から引渡しまでの期間が通常の期間であるため）</w:t>
            </w:r>
          </w:p>
        </w:tc>
        <w:tc>
          <w:tcPr>
            <w:tcW w:type="dxa" w:w="2721"/>
          </w:tcPr>
          <w:p>
            <w:r>
              <w:rPr>
                <w:rFonts w:ascii="Yu Gothic" w:hAnsi="Yu Gothic" w:eastAsia="Yu Gothic"/>
                <w:b w:val="0"/>
                <w:sz w:val="17"/>
              </w:rPr>
              <w:t>期末日前後の出荷はカットオフテストの対象（TR01）</w:t>
            </w:r>
          </w:p>
        </w:tc>
      </w:tr>
      <w:tr>
        <w:tc>
          <w:tcPr>
            <w:tcW w:type="dxa" w:w="1701"/>
          </w:tcPr>
          <w:p>
            <w:r>
              <w:rPr>
                <w:rFonts w:ascii="Yu Gothic" w:hAnsi="Yu Gothic" w:eastAsia="Yu Gothic"/>
                <w:b w:val="0"/>
                <w:sz w:val="17"/>
              </w:rPr>
              <w:t>製品の販売（輸出）</w:t>
            </w:r>
          </w:p>
        </w:tc>
        <w:tc>
          <w:tcPr>
            <w:tcW w:type="dxa" w:w="1814"/>
          </w:tcPr>
          <w:p>
            <w:r>
              <w:rPr>
                <w:rFonts w:ascii="Yu Gothic" w:hAnsi="Yu Gothic" w:eastAsia="Yu Gothic"/>
                <w:b w:val="0"/>
                <w:sz w:val="17"/>
              </w:rPr>
              <w:t>貿易条件に基づく危険負担の移転時</w:t>
            </w:r>
          </w:p>
        </w:tc>
        <w:tc>
          <w:tcPr>
            <w:tcW w:type="dxa" w:w="3402"/>
          </w:tcPr>
          <w:p>
            <w:r>
              <w:rPr>
                <w:rFonts w:ascii="Yu Gothic" w:hAnsi="Yu Gothic" w:eastAsia="Yu Gothic"/>
                <w:b w:val="0"/>
                <w:sz w:val="17"/>
              </w:rPr>
              <w:t>FOB条件：船積時／CIF条件：仕向港到着時</w:t>
            </w:r>
          </w:p>
        </w:tc>
        <w:tc>
          <w:tcPr>
            <w:tcW w:type="dxa" w:w="2721"/>
          </w:tcPr>
          <w:p>
            <w:r>
              <w:rPr>
                <w:rFonts w:ascii="Yu Gothic" w:hAnsi="Yu Gothic" w:eastAsia="Yu Gothic"/>
                <w:b w:val="0"/>
                <w:sz w:val="17"/>
              </w:rPr>
              <w:t>貿易条件ごとに認識時点が異なるため、契約条件の確認が必要</w:t>
            </w:r>
          </w:p>
        </w:tc>
      </w:tr>
      <w:tr>
        <w:tc>
          <w:tcPr>
            <w:tcW w:type="dxa" w:w="1701"/>
          </w:tcPr>
          <w:p>
            <w:r>
              <w:rPr>
                <w:rFonts w:ascii="Yu Gothic" w:hAnsi="Yu Gothic" w:eastAsia="Yu Gothic"/>
                <w:b w:val="0"/>
                <w:sz w:val="17"/>
              </w:rPr>
              <w:t>有償支給取引</w:t>
            </w:r>
          </w:p>
        </w:tc>
        <w:tc>
          <w:tcPr>
            <w:tcW w:type="dxa" w:w="1814"/>
          </w:tcPr>
          <w:p>
            <w:r>
              <w:rPr>
                <w:rFonts w:ascii="Yu Gothic" w:hAnsi="Yu Gothic" w:eastAsia="Yu Gothic"/>
                <w:b w:val="0"/>
                <w:sz w:val="17"/>
              </w:rPr>
              <w:t>―</w:t>
            </w:r>
          </w:p>
        </w:tc>
        <w:tc>
          <w:tcPr>
            <w:tcW w:type="dxa" w:w="3402"/>
          </w:tcPr>
          <w:p>
            <w:r>
              <w:rPr>
                <w:rFonts w:ascii="Yu Gothic" w:hAnsi="Yu Gothic" w:eastAsia="Yu Gothic"/>
                <w:b w:val="0"/>
                <w:sz w:val="17"/>
              </w:rPr>
              <w:t>支給品の消滅を認識せず、譲渡された支給品の対価を金融負債として計上</w:t>
            </w:r>
          </w:p>
        </w:tc>
        <w:tc>
          <w:tcPr>
            <w:tcW w:type="dxa" w:w="2721"/>
          </w:tcPr>
          <w:p>
            <w:r>
              <w:rPr>
                <w:rFonts w:ascii="Yu Gothic" w:hAnsi="Yu Gothic" w:eastAsia="Yu Gothic"/>
                <w:b w:val="0"/>
                <w:sz w:val="17"/>
              </w:rPr>
              <w:t>総額表示は行わない</w:t>
            </w:r>
          </w:p>
        </w:tc>
      </w:tr>
      <w:tr>
        <w:tc>
          <w:tcPr>
            <w:tcW w:type="dxa" w:w="1701"/>
          </w:tcPr>
          <w:p>
            <w:r>
              <w:rPr>
                <w:rFonts w:ascii="Yu Gothic" w:hAnsi="Yu Gothic" w:eastAsia="Yu Gothic"/>
                <w:b w:val="0"/>
                <w:sz w:val="17"/>
              </w:rPr>
              <w:t>役務提供（設計受託等）</w:t>
            </w:r>
          </w:p>
        </w:tc>
        <w:tc>
          <w:tcPr>
            <w:tcW w:type="dxa" w:w="1814"/>
          </w:tcPr>
          <w:p>
            <w:r>
              <w:rPr>
                <w:rFonts w:ascii="Yu Gothic" w:hAnsi="Yu Gothic" w:eastAsia="Yu Gothic"/>
                <w:b w:val="0"/>
                <w:sz w:val="17"/>
              </w:rPr>
              <w:t>一定期間にわたり充足</w:t>
            </w:r>
          </w:p>
        </w:tc>
        <w:tc>
          <w:tcPr>
            <w:tcW w:type="dxa" w:w="3402"/>
          </w:tcPr>
          <w:p>
            <w:r>
              <w:rPr>
                <w:rFonts w:ascii="Yu Gothic" w:hAnsi="Yu Gothic" w:eastAsia="Yu Gothic"/>
                <w:b w:val="0"/>
                <w:sz w:val="17"/>
              </w:rPr>
              <w:t>履行義務の充足に係る進捗度に基づき収益を認識（原価比例法）</w:t>
            </w:r>
          </w:p>
        </w:tc>
        <w:tc>
          <w:tcPr>
            <w:tcW w:type="dxa" w:w="2721"/>
          </w:tcPr>
          <w:p>
            <w:r>
              <w:rPr>
                <w:rFonts w:ascii="Yu Gothic" w:hAnsi="Yu Gothic" w:eastAsia="Yu Gothic"/>
                <w:b w:val="0"/>
                <w:sz w:val="17"/>
              </w:rPr>
              <w:t>進捗度の見積りの合理性の検討が必要</w:t>
            </w:r>
          </w:p>
        </w:tc>
      </w:tr>
      <w:tr>
        <w:tc>
          <w:tcPr>
            <w:tcW w:type="dxa" w:w="1701"/>
          </w:tcPr>
          <w:p>
            <w:r>
              <w:rPr>
                <w:rFonts w:ascii="Yu Gothic" w:hAnsi="Yu Gothic" w:eastAsia="Yu Gothic"/>
                <w:b w:val="0"/>
                <w:sz w:val="17"/>
              </w:rPr>
              <w:t>返品・値引</w:t>
            </w:r>
          </w:p>
        </w:tc>
        <w:tc>
          <w:tcPr>
            <w:tcW w:type="dxa" w:w="1814"/>
          </w:tcPr>
          <w:p>
            <w:r>
              <w:rPr>
                <w:rFonts w:ascii="Yu Gothic" w:hAnsi="Yu Gothic" w:eastAsia="Yu Gothic"/>
                <w:b w:val="0"/>
                <w:sz w:val="17"/>
              </w:rPr>
              <w:t>―</w:t>
            </w:r>
          </w:p>
        </w:tc>
        <w:tc>
          <w:tcPr>
            <w:tcW w:type="dxa" w:w="3402"/>
          </w:tcPr>
          <w:p>
            <w:r>
              <w:rPr>
                <w:rFonts w:ascii="Yu Gothic" w:hAnsi="Yu Gothic" w:eastAsia="Yu Gothic"/>
                <w:b w:val="0"/>
                <w:sz w:val="17"/>
              </w:rPr>
              <w:t>変動対価として、返品・値引が見込まれる額を売上高から控除</w:t>
            </w:r>
          </w:p>
        </w:tc>
        <w:tc>
          <w:tcPr>
            <w:tcW w:type="dxa" w:w="2721"/>
          </w:tcPr>
          <w:p>
            <w:r>
              <w:rPr>
                <w:rFonts w:ascii="Yu Gothic" w:hAnsi="Yu Gothic" w:eastAsia="Yu Gothic"/>
                <w:b w:val="0"/>
                <w:sz w:val="17"/>
              </w:rPr>
              <w:t>売上値引・割戻引当金として計上（月次決算CL No.8）</w:t>
            </w:r>
          </w:p>
        </w:tc>
      </w:tr>
    </w:tbl>
    <w:p/>
    <w:p>
      <w:r>
        <w:rPr>
          <w:rFonts w:ascii="Yu Gothic" w:hAnsi="Yu Gothic" w:eastAsia="Yu Gothic"/>
          <w:b w:val="0"/>
          <w:color w:val="595959"/>
          <w:sz w:val="17"/>
        </w:rPr>
        <w:t>※ 具体的な運用は販売管理規程（R11）第4章による。</w:t>
      </w:r>
    </w:p>
    <w:p>
      <w:r>
        <w:rPr>
          <w:rFonts w:ascii="Yu Gothic" w:hAnsi="Yu Gothic" w:eastAsia="Yu Gothic"/>
          <w:b/>
          <w:color w:val="1F3864"/>
          <w:sz w:val="22"/>
        </w:rPr>
        <w:t>3-2. 棚卸資産の評価基準及び評価方法</w:t>
      </w:r>
    </w:p>
    <w:tbl>
      <w:tblPr>
        <w:tblStyle w:val="TableGrid"/>
        <w:tblW w:type="auto" w:w="0"/>
        <w:tblLook w:firstColumn="1" w:firstRow="1" w:lastColumn="0" w:lastRow="0" w:noHBand="0" w:noVBand="1" w:val="04A0"/>
      </w:tblPr>
      <w:tblGrid>
        <w:gridCol w:w="2493"/>
        <w:gridCol w:w="2493"/>
        <w:gridCol w:w="2493"/>
        <w:gridCol w:w="2493"/>
      </w:tblGrid>
      <w:tr>
        <w:tc>
          <w:tcPr>
            <w:tcW w:type="dxa" w:w="1417"/>
          </w:tcPr>
          <w:p>
            <w:pPr>
              <w:jc w:val="center"/>
            </w:pPr>
            <w:r>
              <w:rPr>
                <w:rFonts w:ascii="Yu Gothic" w:hAnsi="Yu Gothic" w:eastAsia="Yu Gothic"/>
                <w:b/>
                <w:sz w:val="17"/>
              </w:rPr>
              <w:t>区分</w:t>
            </w:r>
          </w:p>
        </w:tc>
        <w:tc>
          <w:tcPr>
            <w:tcW w:type="dxa" w:w="2835"/>
          </w:tcPr>
          <w:p>
            <w:pPr>
              <w:jc w:val="center"/>
            </w:pPr>
            <w:r>
              <w:rPr>
                <w:rFonts w:ascii="Yu Gothic" w:hAnsi="Yu Gothic" w:eastAsia="Yu Gothic"/>
                <w:b/>
                <w:sz w:val="17"/>
              </w:rPr>
              <w:t>評価基準</w:t>
            </w:r>
          </w:p>
        </w:tc>
        <w:tc>
          <w:tcPr>
            <w:tcW w:type="dxa" w:w="3118"/>
          </w:tcPr>
          <w:p>
            <w:pPr>
              <w:jc w:val="center"/>
            </w:pPr>
            <w:r>
              <w:rPr>
                <w:rFonts w:ascii="Yu Gothic" w:hAnsi="Yu Gothic" w:eastAsia="Yu Gothic"/>
                <w:b/>
                <w:sz w:val="17"/>
              </w:rPr>
              <w:t>評価方法</w:t>
            </w:r>
          </w:p>
        </w:tc>
        <w:tc>
          <w:tcPr>
            <w:tcW w:type="dxa" w:w="2268"/>
          </w:tcPr>
          <w:p>
            <w:pPr>
              <w:jc w:val="center"/>
            </w:pPr>
            <w:r>
              <w:rPr>
                <w:rFonts w:ascii="Yu Gothic" w:hAnsi="Yu Gothic" w:eastAsia="Yu Gothic"/>
                <w:b/>
                <w:sz w:val="17"/>
              </w:rPr>
              <w:t>収益性の低下による簿価切下げ</w:t>
            </w:r>
          </w:p>
        </w:tc>
      </w:tr>
      <w:tr>
        <w:tc>
          <w:tcPr>
            <w:tcW w:type="dxa" w:w="1417"/>
          </w:tcPr>
          <w:p>
            <w:r>
              <w:rPr>
                <w:rFonts w:ascii="Yu Gothic" w:hAnsi="Yu Gothic" w:eastAsia="Yu Gothic"/>
                <w:b w:val="0"/>
                <w:sz w:val="17"/>
              </w:rPr>
              <w:t>原材料</w:t>
            </w:r>
          </w:p>
        </w:tc>
        <w:tc>
          <w:tcPr>
            <w:tcW w:type="dxa" w:w="2835"/>
          </w:tcPr>
          <w:p>
            <w:r>
              <w:rPr>
                <w:rFonts w:ascii="Yu Gothic" w:hAnsi="Yu Gothic" w:eastAsia="Yu Gothic"/>
                <w:b w:val="0"/>
                <w:sz w:val="17"/>
              </w:rPr>
              <w:t>原価法（収益性の低下による簿価切下げの方法）</w:t>
            </w:r>
          </w:p>
        </w:tc>
        <w:tc>
          <w:tcPr>
            <w:tcW w:type="dxa" w:w="3118"/>
          </w:tcPr>
          <w:p>
            <w:r>
              <w:rPr>
                <w:rFonts w:ascii="Yu Gothic" w:hAnsi="Yu Gothic" w:eastAsia="Yu Gothic"/>
                <w:b w:val="0"/>
                <w:sz w:val="17"/>
              </w:rPr>
              <w:t>移動平均法</w:t>
            </w:r>
          </w:p>
        </w:tc>
        <w:tc>
          <w:tcPr>
            <w:tcW w:type="dxa" w:w="2268"/>
          </w:tcPr>
          <w:p>
            <w:r>
              <w:rPr>
                <w:rFonts w:ascii="Yu Gothic" w:hAnsi="Yu Gothic" w:eastAsia="Yu Gothic"/>
                <w:b w:val="0"/>
                <w:sz w:val="17"/>
              </w:rPr>
              <w:t>正味売却価額が取得原価を下回る場合</w:t>
            </w:r>
          </w:p>
        </w:tc>
      </w:tr>
      <w:tr>
        <w:tc>
          <w:tcPr>
            <w:tcW w:type="dxa" w:w="1417"/>
          </w:tcPr>
          <w:p>
            <w:r>
              <w:rPr>
                <w:rFonts w:ascii="Yu Gothic" w:hAnsi="Yu Gothic" w:eastAsia="Yu Gothic"/>
                <w:b w:val="0"/>
                <w:sz w:val="17"/>
              </w:rPr>
              <w:t>仕掛品</w:t>
            </w:r>
          </w:p>
        </w:tc>
        <w:tc>
          <w:tcPr>
            <w:tcW w:type="dxa" w:w="2835"/>
          </w:tcPr>
          <w:p>
            <w:r>
              <w:rPr>
                <w:rFonts w:ascii="Yu Gothic" w:hAnsi="Yu Gothic" w:eastAsia="Yu Gothic"/>
                <w:b w:val="0"/>
                <w:sz w:val="17"/>
              </w:rPr>
              <w:t>同上</w:t>
            </w:r>
          </w:p>
        </w:tc>
        <w:tc>
          <w:tcPr>
            <w:tcW w:type="dxa" w:w="3118"/>
          </w:tcPr>
          <w:p>
            <w:r>
              <w:rPr>
                <w:rFonts w:ascii="Yu Gothic" w:hAnsi="Yu Gothic" w:eastAsia="Yu Gothic"/>
                <w:b w:val="0"/>
                <w:sz w:val="17"/>
              </w:rPr>
              <w:t>総平均法（標準原価をもって計算し、原価差異を調整）</w:t>
            </w:r>
          </w:p>
        </w:tc>
        <w:tc>
          <w:tcPr>
            <w:tcW w:type="dxa" w:w="2268"/>
          </w:tcPr>
          <w:p>
            <w:r>
              <w:rPr>
                <w:rFonts w:ascii="Yu Gothic" w:hAnsi="Yu Gothic" w:eastAsia="Yu Gothic"/>
                <w:b w:val="0"/>
                <w:sz w:val="17"/>
              </w:rPr>
              <w:t>同上</w:t>
            </w:r>
          </w:p>
        </w:tc>
      </w:tr>
      <w:tr>
        <w:tc>
          <w:tcPr>
            <w:tcW w:type="dxa" w:w="1417"/>
          </w:tcPr>
          <w:p>
            <w:r>
              <w:rPr>
                <w:rFonts w:ascii="Yu Gothic" w:hAnsi="Yu Gothic" w:eastAsia="Yu Gothic"/>
                <w:b w:val="0"/>
                <w:sz w:val="17"/>
              </w:rPr>
              <w:t>製品</w:t>
            </w:r>
          </w:p>
        </w:tc>
        <w:tc>
          <w:tcPr>
            <w:tcW w:type="dxa" w:w="2835"/>
          </w:tcPr>
          <w:p>
            <w:r>
              <w:rPr>
                <w:rFonts w:ascii="Yu Gothic" w:hAnsi="Yu Gothic" w:eastAsia="Yu Gothic"/>
                <w:b w:val="0"/>
                <w:sz w:val="17"/>
              </w:rPr>
              <w:t>同上</w:t>
            </w:r>
          </w:p>
        </w:tc>
        <w:tc>
          <w:tcPr>
            <w:tcW w:type="dxa" w:w="3118"/>
          </w:tcPr>
          <w:p>
            <w:r>
              <w:rPr>
                <w:rFonts w:ascii="Yu Gothic" w:hAnsi="Yu Gothic" w:eastAsia="Yu Gothic"/>
                <w:b w:val="0"/>
                <w:sz w:val="17"/>
              </w:rPr>
              <w:t>総平均法（標準原価をもって計算し、原価差異を調整）</w:t>
            </w:r>
          </w:p>
        </w:tc>
        <w:tc>
          <w:tcPr>
            <w:tcW w:type="dxa" w:w="2268"/>
          </w:tcPr>
          <w:p>
            <w:r>
              <w:rPr>
                <w:rFonts w:ascii="Yu Gothic" w:hAnsi="Yu Gothic" w:eastAsia="Yu Gothic"/>
                <w:b w:val="0"/>
                <w:sz w:val="17"/>
              </w:rPr>
              <w:t>同上</w:t>
            </w:r>
          </w:p>
        </w:tc>
      </w:tr>
      <w:tr>
        <w:tc>
          <w:tcPr>
            <w:tcW w:type="dxa" w:w="1417"/>
          </w:tcPr>
          <w:p>
            <w:r>
              <w:rPr>
                <w:rFonts w:ascii="Yu Gothic" w:hAnsi="Yu Gothic" w:eastAsia="Yu Gothic"/>
                <w:b w:val="0"/>
                <w:sz w:val="17"/>
              </w:rPr>
              <w:t>貯蔵品</w:t>
            </w:r>
          </w:p>
        </w:tc>
        <w:tc>
          <w:tcPr>
            <w:tcW w:type="dxa" w:w="2835"/>
          </w:tcPr>
          <w:p>
            <w:r>
              <w:rPr>
                <w:rFonts w:ascii="Yu Gothic" w:hAnsi="Yu Gothic" w:eastAsia="Yu Gothic"/>
                <w:b w:val="0"/>
                <w:sz w:val="17"/>
              </w:rPr>
              <w:t>同上</w:t>
            </w:r>
          </w:p>
        </w:tc>
        <w:tc>
          <w:tcPr>
            <w:tcW w:type="dxa" w:w="3118"/>
          </w:tcPr>
          <w:p>
            <w:r>
              <w:rPr>
                <w:rFonts w:ascii="Yu Gothic" w:hAnsi="Yu Gothic" w:eastAsia="Yu Gothic"/>
                <w:b w:val="0"/>
                <w:sz w:val="17"/>
              </w:rPr>
              <w:t>最終仕入原価法</w:t>
            </w:r>
          </w:p>
        </w:tc>
        <w:tc>
          <w:tcPr>
            <w:tcW w:type="dxa" w:w="2268"/>
          </w:tcPr>
          <w:p>
            <w:r>
              <w:rPr>
                <w:rFonts w:ascii="Yu Gothic" w:hAnsi="Yu Gothic" w:eastAsia="Yu Gothic"/>
                <w:b w:val="0"/>
                <w:sz w:val="17"/>
              </w:rPr>
              <w:t>同上</w:t>
            </w:r>
          </w:p>
        </w:tc>
      </w:tr>
    </w:tbl>
    <w:p/>
    <w:p>
      <w:r>
        <w:rPr>
          <w:rFonts w:ascii="Yu Gothic" w:hAnsi="Yu Gothic" w:eastAsia="Yu Gothic"/>
          <w:b w:val="0"/>
          <w:sz w:val="20"/>
        </w:rPr>
        <w:t>滞留在庫及び陳腐化在庫については、規則的に帳簿価額を切り下げる。判定基準及び切下げ率は「棚卸資産評価基準・算定要領（F-14）」による。</w:t>
      </w:r>
    </w:p>
    <w:p>
      <w:r>
        <w:rPr>
          <w:rFonts w:ascii="Yu Gothic" w:hAnsi="Yu Gothic" w:eastAsia="Yu Gothic"/>
          <w:b w:val="0"/>
          <w:color w:val="595959"/>
          <w:sz w:val="17"/>
        </w:rPr>
        <w:t>★ F-14（棚卸資産評価基準・算定要領）は未整備であり、実務は経理部の運用ルール（回転期間による判定）で行われている。月次決算チェックリストNo.25には「滞留在庫（180日超）」と記載されているが、判定基準を定めた文書が存在しないため、いずれが正式な基準か確定できない。FY2026の整備課題（GAP-3）。</w:t>
      </w:r>
    </w:p>
    <w:p>
      <w:r>
        <w:rPr>
          <w:rFonts w:ascii="Yu Gothic" w:hAnsi="Yu Gothic" w:eastAsia="Yu Gothic"/>
          <w:b/>
          <w:color w:val="1F3864"/>
          <w:sz w:val="22"/>
        </w:rPr>
        <w:t>3-3. 有形固定資産の減価償却</w:t>
      </w:r>
    </w:p>
    <w:tbl>
      <w:tblPr>
        <w:tblStyle w:val="TableGrid"/>
        <w:tblW w:type="auto" w:w="0"/>
        <w:tblLook w:firstColumn="1" w:firstRow="1" w:lastColumn="0" w:lastRow="0" w:noHBand="0" w:noVBand="1" w:val="04A0"/>
      </w:tblPr>
      <w:tblGrid>
        <w:gridCol w:w="2493"/>
        <w:gridCol w:w="2493"/>
        <w:gridCol w:w="2493"/>
        <w:gridCol w:w="2493"/>
      </w:tblGrid>
      <w:tr>
        <w:tc>
          <w:tcPr>
            <w:tcW w:type="dxa" w:w="2551"/>
          </w:tcPr>
          <w:p>
            <w:pPr>
              <w:jc w:val="center"/>
            </w:pPr>
            <w:r>
              <w:rPr>
                <w:rFonts w:ascii="Yu Gothic" w:hAnsi="Yu Gothic" w:eastAsia="Yu Gothic"/>
                <w:b/>
                <w:sz w:val="17"/>
              </w:rPr>
              <w:t>資産種類</w:t>
            </w:r>
          </w:p>
        </w:tc>
        <w:tc>
          <w:tcPr>
            <w:tcW w:type="dxa" w:w="2551"/>
          </w:tcPr>
          <w:p>
            <w:pPr>
              <w:jc w:val="center"/>
            </w:pPr>
            <w:r>
              <w:rPr>
                <w:rFonts w:ascii="Yu Gothic" w:hAnsi="Yu Gothic" w:eastAsia="Yu Gothic"/>
                <w:b/>
                <w:sz w:val="17"/>
              </w:rPr>
              <w:t>償却方法</w:t>
            </w:r>
          </w:p>
        </w:tc>
        <w:tc>
          <w:tcPr>
            <w:tcW w:type="dxa" w:w="2268"/>
          </w:tcPr>
          <w:p>
            <w:pPr>
              <w:jc w:val="center"/>
            </w:pPr>
            <w:r>
              <w:rPr>
                <w:rFonts w:ascii="Yu Gothic" w:hAnsi="Yu Gothic" w:eastAsia="Yu Gothic"/>
                <w:b/>
                <w:sz w:val="17"/>
              </w:rPr>
              <w:t>耐用年数</w:t>
            </w:r>
          </w:p>
        </w:tc>
        <w:tc>
          <w:tcPr>
            <w:tcW w:type="dxa" w:w="2268"/>
          </w:tcPr>
          <w:p>
            <w:pPr>
              <w:jc w:val="center"/>
            </w:pPr>
            <w:r>
              <w:rPr>
                <w:rFonts w:ascii="Yu Gothic" w:hAnsi="Yu Gothic" w:eastAsia="Yu Gothic"/>
                <w:b/>
                <w:sz w:val="17"/>
              </w:rPr>
              <w:t>残存価額</w:t>
            </w:r>
          </w:p>
        </w:tc>
      </w:tr>
      <w:tr>
        <w:tc>
          <w:tcPr>
            <w:tcW w:type="dxa" w:w="2551"/>
          </w:tcPr>
          <w:p>
            <w:r>
              <w:rPr>
                <w:rFonts w:ascii="Yu Gothic" w:hAnsi="Yu Gothic" w:eastAsia="Yu Gothic"/>
                <w:b w:val="0"/>
                <w:sz w:val="17"/>
              </w:rPr>
              <w:t>建物</w:t>
            </w:r>
          </w:p>
        </w:tc>
        <w:tc>
          <w:tcPr>
            <w:tcW w:type="dxa" w:w="2551"/>
          </w:tcPr>
          <w:p>
            <w:r>
              <w:rPr>
                <w:rFonts w:ascii="Yu Gothic" w:hAnsi="Yu Gothic" w:eastAsia="Yu Gothic"/>
                <w:b w:val="0"/>
                <w:sz w:val="17"/>
              </w:rPr>
              <w:t>定額法</w:t>
            </w:r>
          </w:p>
        </w:tc>
        <w:tc>
          <w:tcPr>
            <w:tcW w:type="dxa" w:w="2268"/>
          </w:tcPr>
          <w:p>
            <w:r>
              <w:rPr>
                <w:rFonts w:ascii="Yu Gothic" w:hAnsi="Yu Gothic" w:eastAsia="Yu Gothic"/>
                <w:b w:val="0"/>
                <w:sz w:val="17"/>
              </w:rPr>
              <w:t>15〜38年</w:t>
            </w:r>
          </w:p>
        </w:tc>
        <w:tc>
          <w:tcPr>
            <w:tcW w:type="dxa" w:w="2268"/>
          </w:tcPr>
          <w:p>
            <w:r>
              <w:rPr>
                <w:rFonts w:ascii="Yu Gothic" w:hAnsi="Yu Gothic" w:eastAsia="Yu Gothic"/>
                <w:b w:val="0"/>
                <w:sz w:val="17"/>
              </w:rPr>
              <w:t>備忘価額1円</w:t>
            </w:r>
          </w:p>
        </w:tc>
      </w:tr>
      <w:tr>
        <w:tc>
          <w:tcPr>
            <w:tcW w:type="dxa" w:w="2551"/>
          </w:tcPr>
          <w:p>
            <w:r>
              <w:rPr>
                <w:rFonts w:ascii="Yu Gothic" w:hAnsi="Yu Gothic" w:eastAsia="Yu Gothic"/>
                <w:b w:val="0"/>
                <w:sz w:val="17"/>
              </w:rPr>
              <w:t>建物附属設備</w:t>
            </w:r>
          </w:p>
        </w:tc>
        <w:tc>
          <w:tcPr>
            <w:tcW w:type="dxa" w:w="2551"/>
          </w:tcPr>
          <w:p>
            <w:r>
              <w:rPr>
                <w:rFonts w:ascii="Yu Gothic" w:hAnsi="Yu Gothic" w:eastAsia="Yu Gothic"/>
                <w:b w:val="0"/>
                <w:sz w:val="17"/>
              </w:rPr>
              <w:t>定額法</w:t>
            </w:r>
          </w:p>
        </w:tc>
        <w:tc>
          <w:tcPr>
            <w:tcW w:type="dxa" w:w="2268"/>
          </w:tcPr>
          <w:p>
            <w:r>
              <w:rPr>
                <w:rFonts w:ascii="Yu Gothic" w:hAnsi="Yu Gothic" w:eastAsia="Yu Gothic"/>
                <w:b w:val="0"/>
                <w:sz w:val="17"/>
              </w:rPr>
              <w:t>8〜15年</w:t>
            </w:r>
          </w:p>
        </w:tc>
        <w:tc>
          <w:tcPr>
            <w:tcW w:type="dxa" w:w="2268"/>
          </w:tcPr>
          <w:p>
            <w:r>
              <w:rPr>
                <w:rFonts w:ascii="Yu Gothic" w:hAnsi="Yu Gothic" w:eastAsia="Yu Gothic"/>
                <w:b w:val="0"/>
                <w:sz w:val="17"/>
              </w:rPr>
              <w:t>備忘価額1円</w:t>
            </w:r>
          </w:p>
        </w:tc>
      </w:tr>
      <w:tr>
        <w:tc>
          <w:tcPr>
            <w:tcW w:type="dxa" w:w="2551"/>
          </w:tcPr>
          <w:p>
            <w:r>
              <w:rPr>
                <w:rFonts w:ascii="Yu Gothic" w:hAnsi="Yu Gothic" w:eastAsia="Yu Gothic"/>
                <w:b w:val="0"/>
                <w:sz w:val="17"/>
              </w:rPr>
              <w:t>機械装置</w:t>
            </w:r>
          </w:p>
        </w:tc>
        <w:tc>
          <w:tcPr>
            <w:tcW w:type="dxa" w:w="2551"/>
          </w:tcPr>
          <w:p>
            <w:r>
              <w:rPr>
                <w:rFonts w:ascii="Yu Gothic" w:hAnsi="Yu Gothic" w:eastAsia="Yu Gothic"/>
                <w:b w:val="0"/>
                <w:sz w:val="17"/>
              </w:rPr>
              <w:t>定率法</w:t>
            </w:r>
          </w:p>
        </w:tc>
        <w:tc>
          <w:tcPr>
            <w:tcW w:type="dxa" w:w="2268"/>
          </w:tcPr>
          <w:p>
            <w:r>
              <w:rPr>
                <w:rFonts w:ascii="Yu Gothic" w:hAnsi="Yu Gothic" w:eastAsia="Yu Gothic"/>
                <w:b w:val="0"/>
                <w:sz w:val="17"/>
              </w:rPr>
              <w:t>7〜10年</w:t>
            </w:r>
          </w:p>
        </w:tc>
        <w:tc>
          <w:tcPr>
            <w:tcW w:type="dxa" w:w="2268"/>
          </w:tcPr>
          <w:p>
            <w:r>
              <w:rPr>
                <w:rFonts w:ascii="Yu Gothic" w:hAnsi="Yu Gothic" w:eastAsia="Yu Gothic"/>
                <w:b w:val="0"/>
                <w:sz w:val="17"/>
              </w:rPr>
              <w:t>備忘価額1円</w:t>
            </w:r>
          </w:p>
        </w:tc>
      </w:tr>
      <w:tr>
        <w:tc>
          <w:tcPr>
            <w:tcW w:type="dxa" w:w="2551"/>
          </w:tcPr>
          <w:p>
            <w:r>
              <w:rPr>
                <w:rFonts w:ascii="Yu Gothic" w:hAnsi="Yu Gothic" w:eastAsia="Yu Gothic"/>
                <w:b w:val="0"/>
                <w:sz w:val="17"/>
              </w:rPr>
              <w:t>工具器具備品</w:t>
            </w:r>
          </w:p>
        </w:tc>
        <w:tc>
          <w:tcPr>
            <w:tcW w:type="dxa" w:w="2551"/>
          </w:tcPr>
          <w:p>
            <w:r>
              <w:rPr>
                <w:rFonts w:ascii="Yu Gothic" w:hAnsi="Yu Gothic" w:eastAsia="Yu Gothic"/>
                <w:b w:val="0"/>
                <w:sz w:val="17"/>
              </w:rPr>
              <w:t>定率法</w:t>
            </w:r>
          </w:p>
        </w:tc>
        <w:tc>
          <w:tcPr>
            <w:tcW w:type="dxa" w:w="2268"/>
          </w:tcPr>
          <w:p>
            <w:r>
              <w:rPr>
                <w:rFonts w:ascii="Yu Gothic" w:hAnsi="Yu Gothic" w:eastAsia="Yu Gothic"/>
                <w:b w:val="0"/>
                <w:sz w:val="17"/>
              </w:rPr>
              <w:t>3〜10年</w:t>
            </w:r>
          </w:p>
        </w:tc>
        <w:tc>
          <w:tcPr>
            <w:tcW w:type="dxa" w:w="2268"/>
          </w:tcPr>
          <w:p>
            <w:r>
              <w:rPr>
                <w:rFonts w:ascii="Yu Gothic" w:hAnsi="Yu Gothic" w:eastAsia="Yu Gothic"/>
                <w:b w:val="0"/>
                <w:sz w:val="17"/>
              </w:rPr>
              <w:t>備忘価額1円</w:t>
            </w:r>
          </w:p>
        </w:tc>
      </w:tr>
      <w:tr>
        <w:tc>
          <w:tcPr>
            <w:tcW w:type="dxa" w:w="2551"/>
          </w:tcPr>
          <w:p>
            <w:r>
              <w:rPr>
                <w:rFonts w:ascii="Yu Gothic" w:hAnsi="Yu Gothic" w:eastAsia="Yu Gothic"/>
                <w:b w:val="0"/>
                <w:sz w:val="17"/>
              </w:rPr>
              <w:t>車両運搬具</w:t>
            </w:r>
          </w:p>
        </w:tc>
        <w:tc>
          <w:tcPr>
            <w:tcW w:type="dxa" w:w="2551"/>
          </w:tcPr>
          <w:p>
            <w:r>
              <w:rPr>
                <w:rFonts w:ascii="Yu Gothic" w:hAnsi="Yu Gothic" w:eastAsia="Yu Gothic"/>
                <w:b w:val="0"/>
                <w:sz w:val="17"/>
              </w:rPr>
              <w:t>定率法</w:t>
            </w:r>
          </w:p>
        </w:tc>
        <w:tc>
          <w:tcPr>
            <w:tcW w:type="dxa" w:w="2268"/>
          </w:tcPr>
          <w:p>
            <w:r>
              <w:rPr>
                <w:rFonts w:ascii="Yu Gothic" w:hAnsi="Yu Gothic" w:eastAsia="Yu Gothic"/>
                <w:b w:val="0"/>
                <w:sz w:val="17"/>
              </w:rPr>
              <w:t>4〜6年</w:t>
            </w:r>
          </w:p>
        </w:tc>
        <w:tc>
          <w:tcPr>
            <w:tcW w:type="dxa" w:w="2268"/>
          </w:tcPr>
          <w:p>
            <w:r>
              <w:rPr>
                <w:rFonts w:ascii="Yu Gothic" w:hAnsi="Yu Gothic" w:eastAsia="Yu Gothic"/>
                <w:b w:val="0"/>
                <w:sz w:val="17"/>
              </w:rPr>
              <w:t>備忘価額1円</w:t>
            </w:r>
          </w:p>
        </w:tc>
      </w:tr>
      <w:tr>
        <w:tc>
          <w:tcPr>
            <w:tcW w:type="dxa" w:w="2551"/>
          </w:tcPr>
          <w:p>
            <w:r>
              <w:rPr>
                <w:rFonts w:ascii="Yu Gothic" w:hAnsi="Yu Gothic" w:eastAsia="Yu Gothic"/>
                <w:b w:val="0"/>
                <w:sz w:val="17"/>
              </w:rPr>
              <w:t>リース資産（所有権移転外ファイナンス・リース）</w:t>
            </w:r>
          </w:p>
        </w:tc>
        <w:tc>
          <w:tcPr>
            <w:tcW w:type="dxa" w:w="2551"/>
          </w:tcPr>
          <w:p>
            <w:r>
              <w:rPr>
                <w:rFonts w:ascii="Yu Gothic" w:hAnsi="Yu Gothic" w:eastAsia="Yu Gothic"/>
                <w:b w:val="0"/>
                <w:sz w:val="17"/>
              </w:rPr>
              <w:t>リース期間を耐用年数とする定額法</w:t>
            </w:r>
          </w:p>
        </w:tc>
        <w:tc>
          <w:tcPr>
            <w:tcW w:type="dxa" w:w="2268"/>
          </w:tcPr>
          <w:p>
            <w:r>
              <w:rPr>
                <w:rFonts w:ascii="Yu Gothic" w:hAnsi="Yu Gothic" w:eastAsia="Yu Gothic"/>
                <w:b w:val="0"/>
                <w:sz w:val="17"/>
              </w:rPr>
              <w:t>リース期間</w:t>
            </w:r>
          </w:p>
        </w:tc>
        <w:tc>
          <w:tcPr>
            <w:tcW w:type="dxa" w:w="2268"/>
          </w:tcPr>
          <w:p>
            <w:r>
              <w:rPr>
                <w:rFonts w:ascii="Yu Gothic" w:hAnsi="Yu Gothic" w:eastAsia="Yu Gothic"/>
                <w:b w:val="0"/>
                <w:sz w:val="17"/>
              </w:rPr>
              <w:t>残存価額を零とする</w:t>
            </w:r>
          </w:p>
        </w:tc>
      </w:tr>
    </w:tbl>
    <w:p/>
    <w:p>
      <w:r>
        <w:rPr>
          <w:rFonts w:ascii="Yu Gothic" w:hAnsi="Yu Gothic" w:eastAsia="Yu Gothic"/>
          <w:b w:val="0"/>
          <w:sz w:val="20"/>
        </w:rPr>
        <w:t>少額減価償却資産（取得価額100千円未満）は取得時に費用処理する。一括償却資産（取得価額100千円以上200千円未満）は3年間で均等償却する。</w:t>
      </w:r>
    </w:p>
    <w:p>
      <w:r>
        <w:rPr>
          <w:rFonts w:ascii="Yu Gothic" w:hAnsi="Yu Gothic" w:eastAsia="Yu Gothic"/>
          <w:b/>
          <w:color w:val="1F3864"/>
          <w:sz w:val="22"/>
        </w:rPr>
        <w:t>3-4. 無形固定資産</w:t>
      </w:r>
    </w:p>
    <w:tbl>
      <w:tblPr>
        <w:tblStyle w:val="TableGrid"/>
        <w:tblW w:type="auto" w:w="0"/>
        <w:tblLook w:firstColumn="1" w:firstRow="1" w:lastColumn="0" w:lastRow="0" w:noHBand="0" w:noVBand="1" w:val="04A0"/>
      </w:tblPr>
      <w:tblGrid>
        <w:gridCol w:w="3324"/>
        <w:gridCol w:w="3324"/>
        <w:gridCol w:w="3324"/>
      </w:tblGrid>
      <w:tr>
        <w:tc>
          <w:tcPr>
            <w:tcW w:type="dxa" w:w="2835"/>
          </w:tcPr>
          <w:p>
            <w:pPr>
              <w:jc w:val="center"/>
            </w:pPr>
            <w:r>
              <w:rPr>
                <w:rFonts w:ascii="Yu Gothic" w:hAnsi="Yu Gothic" w:eastAsia="Yu Gothic"/>
                <w:b/>
                <w:sz w:val="17"/>
              </w:rPr>
              <w:t>区分</w:t>
            </w:r>
          </w:p>
        </w:tc>
        <w:tc>
          <w:tcPr>
            <w:tcW w:type="dxa" w:w="2835"/>
          </w:tcPr>
          <w:p>
            <w:pPr>
              <w:jc w:val="center"/>
            </w:pPr>
            <w:r>
              <w:rPr>
                <w:rFonts w:ascii="Yu Gothic" w:hAnsi="Yu Gothic" w:eastAsia="Yu Gothic"/>
                <w:b/>
                <w:sz w:val="17"/>
              </w:rPr>
              <w:t>償却方法</w:t>
            </w:r>
          </w:p>
        </w:tc>
        <w:tc>
          <w:tcPr>
            <w:tcW w:type="dxa" w:w="3402"/>
          </w:tcPr>
          <w:p>
            <w:pPr>
              <w:jc w:val="center"/>
            </w:pPr>
            <w:r>
              <w:rPr>
                <w:rFonts w:ascii="Yu Gothic" w:hAnsi="Yu Gothic" w:eastAsia="Yu Gothic"/>
                <w:b/>
                <w:sz w:val="17"/>
              </w:rPr>
              <w:t>償却期間</w:t>
            </w:r>
          </w:p>
        </w:tc>
      </w:tr>
      <w:tr>
        <w:tc>
          <w:tcPr>
            <w:tcW w:type="dxa" w:w="2835"/>
          </w:tcPr>
          <w:p>
            <w:r>
              <w:rPr>
                <w:rFonts w:ascii="Yu Gothic" w:hAnsi="Yu Gothic" w:eastAsia="Yu Gothic"/>
                <w:b w:val="0"/>
                <w:sz w:val="17"/>
              </w:rPr>
              <w:t>ソフトウェア（自社利用）</w:t>
            </w:r>
          </w:p>
        </w:tc>
        <w:tc>
          <w:tcPr>
            <w:tcW w:type="dxa" w:w="2835"/>
          </w:tcPr>
          <w:p>
            <w:r>
              <w:rPr>
                <w:rFonts w:ascii="Yu Gothic" w:hAnsi="Yu Gothic" w:eastAsia="Yu Gothic"/>
                <w:b w:val="0"/>
                <w:sz w:val="17"/>
              </w:rPr>
              <w:t>定額法</w:t>
            </w:r>
          </w:p>
        </w:tc>
        <w:tc>
          <w:tcPr>
            <w:tcW w:type="dxa" w:w="3402"/>
          </w:tcPr>
          <w:p>
            <w:r>
              <w:rPr>
                <w:rFonts w:ascii="Yu Gothic" w:hAnsi="Yu Gothic" w:eastAsia="Yu Gothic"/>
                <w:b w:val="0"/>
                <w:sz w:val="17"/>
              </w:rPr>
              <w:t>利用可能期間（5年）</w:t>
            </w:r>
          </w:p>
        </w:tc>
      </w:tr>
      <w:tr>
        <w:tc>
          <w:tcPr>
            <w:tcW w:type="dxa" w:w="2835"/>
          </w:tcPr>
          <w:p>
            <w:r>
              <w:rPr>
                <w:rFonts w:ascii="Yu Gothic" w:hAnsi="Yu Gothic" w:eastAsia="Yu Gothic"/>
                <w:b w:val="0"/>
                <w:sz w:val="17"/>
              </w:rPr>
              <w:t>のれん</w:t>
            </w:r>
          </w:p>
        </w:tc>
        <w:tc>
          <w:tcPr>
            <w:tcW w:type="dxa" w:w="2835"/>
          </w:tcPr>
          <w:p>
            <w:r>
              <w:rPr>
                <w:rFonts w:ascii="Yu Gothic" w:hAnsi="Yu Gothic" w:eastAsia="Yu Gothic"/>
                <w:b w:val="0"/>
                <w:sz w:val="17"/>
              </w:rPr>
              <w:t>定額法</w:t>
            </w:r>
          </w:p>
        </w:tc>
        <w:tc>
          <w:tcPr>
            <w:tcW w:type="dxa" w:w="3402"/>
          </w:tcPr>
          <w:p>
            <w:r>
              <w:rPr>
                <w:rFonts w:ascii="Yu Gothic" w:hAnsi="Yu Gothic" w:eastAsia="Yu Gothic"/>
                <w:b w:val="0"/>
                <w:sz w:val="17"/>
              </w:rPr>
              <w:t>効果の及ぶ期間（10年）</w:t>
            </w:r>
          </w:p>
        </w:tc>
      </w:tr>
      <w:tr>
        <w:tc>
          <w:tcPr>
            <w:tcW w:type="dxa" w:w="2835"/>
          </w:tcPr>
          <w:p>
            <w:r>
              <w:rPr>
                <w:rFonts w:ascii="Yu Gothic" w:hAnsi="Yu Gothic" w:eastAsia="Yu Gothic"/>
                <w:b w:val="0"/>
                <w:sz w:val="17"/>
              </w:rPr>
              <w:t>その他</w:t>
            </w:r>
          </w:p>
        </w:tc>
        <w:tc>
          <w:tcPr>
            <w:tcW w:type="dxa" w:w="2835"/>
          </w:tcPr>
          <w:p>
            <w:r>
              <w:rPr>
                <w:rFonts w:ascii="Yu Gothic" w:hAnsi="Yu Gothic" w:eastAsia="Yu Gothic"/>
                <w:b w:val="0"/>
                <w:sz w:val="17"/>
              </w:rPr>
              <w:t>定額法</w:t>
            </w:r>
          </w:p>
        </w:tc>
        <w:tc>
          <w:tcPr>
            <w:tcW w:type="dxa" w:w="3402"/>
          </w:tcPr>
          <w:p>
            <w:r>
              <w:rPr>
                <w:rFonts w:ascii="Yu Gothic" w:hAnsi="Yu Gothic" w:eastAsia="Yu Gothic"/>
                <w:b w:val="0"/>
                <w:sz w:val="17"/>
              </w:rPr>
              <w:t>法定耐用年数</w:t>
            </w:r>
          </w:p>
        </w:tc>
      </w:tr>
    </w:tbl>
    <w:p/>
    <w:p>
      <w:r>
        <w:rPr>
          <w:rFonts w:ascii="Yu Gothic" w:hAnsi="Yu Gothic" w:eastAsia="Yu Gothic"/>
          <w:b/>
          <w:color w:val="1F3864"/>
          <w:sz w:val="22"/>
        </w:rPr>
        <w:t>3-5. 引当金</w:t>
      </w:r>
    </w:p>
    <w:tbl>
      <w:tblPr>
        <w:tblStyle w:val="TableGrid"/>
        <w:tblW w:type="auto" w:w="0"/>
        <w:tblLook w:firstColumn="1" w:firstRow="1" w:lastColumn="0" w:lastRow="0" w:noHBand="0" w:noVBand="1" w:val="04A0"/>
      </w:tblPr>
      <w:tblGrid>
        <w:gridCol w:w="2493"/>
        <w:gridCol w:w="2493"/>
        <w:gridCol w:w="2493"/>
        <w:gridCol w:w="2493"/>
      </w:tblGrid>
      <w:tr>
        <w:tc>
          <w:tcPr>
            <w:tcW w:type="dxa" w:w="1701"/>
          </w:tcPr>
          <w:p>
            <w:pPr>
              <w:jc w:val="center"/>
            </w:pPr>
            <w:r>
              <w:rPr>
                <w:rFonts w:ascii="Yu Gothic" w:hAnsi="Yu Gothic" w:eastAsia="Yu Gothic"/>
                <w:b/>
                <w:sz w:val="17"/>
              </w:rPr>
              <w:t>引当金</w:t>
            </w:r>
          </w:p>
        </w:tc>
        <w:tc>
          <w:tcPr>
            <w:tcW w:type="dxa" w:w="2551"/>
          </w:tcPr>
          <w:p>
            <w:pPr>
              <w:jc w:val="center"/>
            </w:pPr>
            <w:r>
              <w:rPr>
                <w:rFonts w:ascii="Yu Gothic" w:hAnsi="Yu Gothic" w:eastAsia="Yu Gothic"/>
                <w:b/>
                <w:sz w:val="17"/>
              </w:rPr>
              <w:t>計上基準</w:t>
            </w:r>
          </w:p>
        </w:tc>
        <w:tc>
          <w:tcPr>
            <w:tcW w:type="dxa" w:w="3685"/>
          </w:tcPr>
          <w:p>
            <w:pPr>
              <w:jc w:val="center"/>
            </w:pPr>
            <w:r>
              <w:rPr>
                <w:rFonts w:ascii="Yu Gothic" w:hAnsi="Yu Gothic" w:eastAsia="Yu Gothic"/>
                <w:b/>
                <w:sz w:val="17"/>
              </w:rPr>
              <w:t>算定方法</w:t>
            </w:r>
          </w:p>
        </w:tc>
        <w:tc>
          <w:tcPr>
            <w:tcW w:type="dxa" w:w="1134"/>
          </w:tcPr>
          <w:p>
            <w:pPr>
              <w:jc w:val="center"/>
            </w:pPr>
            <w:r>
              <w:rPr>
                <w:rFonts w:ascii="Yu Gothic" w:hAnsi="Yu Gothic" w:eastAsia="Yu Gothic"/>
                <w:b/>
                <w:sz w:val="17"/>
              </w:rPr>
              <w:t>算定要領</w:t>
            </w:r>
          </w:p>
        </w:tc>
      </w:tr>
      <w:tr>
        <w:tc>
          <w:tcPr>
            <w:tcW w:type="dxa" w:w="1701"/>
          </w:tcPr>
          <w:p>
            <w:r>
              <w:rPr>
                <w:rFonts w:ascii="Yu Gothic" w:hAnsi="Yu Gothic" w:eastAsia="Yu Gothic"/>
                <w:b w:val="0"/>
                <w:sz w:val="17"/>
              </w:rPr>
              <w:t>貸倒引当金</w:t>
            </w:r>
          </w:p>
        </w:tc>
        <w:tc>
          <w:tcPr>
            <w:tcW w:type="dxa" w:w="2551"/>
          </w:tcPr>
          <w:p>
            <w:r>
              <w:rPr>
                <w:rFonts w:ascii="Yu Gothic" w:hAnsi="Yu Gothic" w:eastAsia="Yu Gothic"/>
                <w:b w:val="0"/>
                <w:sz w:val="17"/>
              </w:rPr>
              <w:t>債権の貸倒れによる損失に備えるため</w:t>
            </w:r>
          </w:p>
        </w:tc>
        <w:tc>
          <w:tcPr>
            <w:tcW w:type="dxa" w:w="3685"/>
          </w:tcPr>
          <w:p>
            <w:r>
              <w:rPr>
                <w:rFonts w:ascii="Yu Gothic" w:hAnsi="Yu Gothic" w:eastAsia="Yu Gothic"/>
                <w:b w:val="0"/>
                <w:sz w:val="17"/>
              </w:rPr>
              <w:t>一般債権は貸倒実績率法、貸倒懸念債権等特定の債権は個別に回収可能性を勘案して算定</w:t>
            </w:r>
          </w:p>
        </w:tc>
        <w:tc>
          <w:tcPr>
            <w:tcW w:type="dxa" w:w="1134"/>
          </w:tcPr>
          <w:p>
            <w:r>
              <w:rPr>
                <w:rFonts w:ascii="Yu Gothic" w:hAnsi="Yu Gothic" w:eastAsia="Yu Gothic"/>
                <w:b w:val="0"/>
                <w:sz w:val="17"/>
              </w:rPr>
              <w:t>F-12</w:t>
            </w:r>
          </w:p>
        </w:tc>
      </w:tr>
      <w:tr>
        <w:tc>
          <w:tcPr>
            <w:tcW w:type="dxa" w:w="1701"/>
          </w:tcPr>
          <w:p>
            <w:r>
              <w:rPr>
                <w:rFonts w:ascii="Yu Gothic" w:hAnsi="Yu Gothic" w:eastAsia="Yu Gothic"/>
                <w:b w:val="0"/>
                <w:sz w:val="17"/>
              </w:rPr>
              <w:t>賞与引当金</w:t>
            </w:r>
          </w:p>
        </w:tc>
        <w:tc>
          <w:tcPr>
            <w:tcW w:type="dxa" w:w="2551"/>
          </w:tcPr>
          <w:p>
            <w:r>
              <w:rPr>
                <w:rFonts w:ascii="Yu Gothic" w:hAnsi="Yu Gothic" w:eastAsia="Yu Gothic"/>
                <w:b w:val="0"/>
                <w:sz w:val="17"/>
              </w:rPr>
              <w:t>従業員賞与の支給に備えるため</w:t>
            </w:r>
          </w:p>
        </w:tc>
        <w:tc>
          <w:tcPr>
            <w:tcW w:type="dxa" w:w="3685"/>
          </w:tcPr>
          <w:p>
            <w:r>
              <w:rPr>
                <w:rFonts w:ascii="Yu Gothic" w:hAnsi="Yu Gothic" w:eastAsia="Yu Gothic"/>
                <w:b w:val="0"/>
                <w:sz w:val="17"/>
              </w:rPr>
              <w:t>支給見込額のうち当期に負担すべき額を計上</w:t>
            </w:r>
          </w:p>
        </w:tc>
        <w:tc>
          <w:tcPr>
            <w:tcW w:type="dxa" w:w="1134"/>
          </w:tcPr>
          <w:p>
            <w:r>
              <w:rPr>
                <w:rFonts w:ascii="Yu Gothic" w:hAnsi="Yu Gothic" w:eastAsia="Yu Gothic"/>
                <w:b w:val="0"/>
                <w:sz w:val="17"/>
              </w:rPr>
              <w:t>F-21</w:t>
            </w:r>
          </w:p>
        </w:tc>
      </w:tr>
      <w:tr>
        <w:tc>
          <w:tcPr>
            <w:tcW w:type="dxa" w:w="1701"/>
          </w:tcPr>
          <w:p>
            <w:r>
              <w:rPr>
                <w:rFonts w:ascii="Yu Gothic" w:hAnsi="Yu Gothic" w:eastAsia="Yu Gothic"/>
                <w:b w:val="0"/>
                <w:sz w:val="17"/>
              </w:rPr>
              <w:t>製品保証引当金</w:t>
            </w:r>
          </w:p>
        </w:tc>
        <w:tc>
          <w:tcPr>
            <w:tcW w:type="dxa" w:w="2551"/>
          </w:tcPr>
          <w:p>
            <w:r>
              <w:rPr>
                <w:rFonts w:ascii="Yu Gothic" w:hAnsi="Yu Gothic" w:eastAsia="Yu Gothic"/>
                <w:b w:val="0"/>
                <w:sz w:val="17"/>
              </w:rPr>
              <w:t>販売した製品の無償保証に備えるため</w:t>
            </w:r>
          </w:p>
        </w:tc>
        <w:tc>
          <w:tcPr>
            <w:tcW w:type="dxa" w:w="3685"/>
          </w:tcPr>
          <w:p>
            <w:r>
              <w:rPr>
                <w:rFonts w:ascii="Yu Gothic" w:hAnsi="Yu Gothic" w:eastAsia="Yu Gothic"/>
                <w:b w:val="0"/>
                <w:sz w:val="17"/>
              </w:rPr>
              <w:t>過去の保証費用の実績率を売上高に乗じて算定</w:t>
            </w:r>
          </w:p>
        </w:tc>
        <w:tc>
          <w:tcPr>
            <w:tcW w:type="dxa" w:w="1134"/>
          </w:tcPr>
          <w:p>
            <w:r>
              <w:rPr>
                <w:rFonts w:ascii="Yu Gothic" w:hAnsi="Yu Gothic" w:eastAsia="Yu Gothic"/>
                <w:b w:val="0"/>
                <w:sz w:val="17"/>
              </w:rPr>
              <w:t>F-21</w:t>
            </w:r>
          </w:p>
        </w:tc>
      </w:tr>
      <w:tr>
        <w:tc>
          <w:tcPr>
            <w:tcW w:type="dxa" w:w="1701"/>
          </w:tcPr>
          <w:p>
            <w:r>
              <w:rPr>
                <w:rFonts w:ascii="Yu Gothic" w:hAnsi="Yu Gothic" w:eastAsia="Yu Gothic"/>
                <w:b w:val="0"/>
                <w:sz w:val="17"/>
              </w:rPr>
              <w:t>退職給付に係る負債</w:t>
            </w:r>
          </w:p>
        </w:tc>
        <w:tc>
          <w:tcPr>
            <w:tcW w:type="dxa" w:w="2551"/>
          </w:tcPr>
          <w:p>
            <w:r>
              <w:rPr>
                <w:rFonts w:ascii="Yu Gothic" w:hAnsi="Yu Gothic" w:eastAsia="Yu Gothic"/>
                <w:b w:val="0"/>
                <w:sz w:val="17"/>
              </w:rPr>
              <w:t>従業員の退職給付に備えるため</w:t>
            </w:r>
          </w:p>
        </w:tc>
        <w:tc>
          <w:tcPr>
            <w:tcW w:type="dxa" w:w="3685"/>
          </w:tcPr>
          <w:p>
            <w:r>
              <w:rPr>
                <w:rFonts w:ascii="Yu Gothic" w:hAnsi="Yu Gothic" w:eastAsia="Yu Gothic"/>
                <w:b w:val="0"/>
                <w:sz w:val="17"/>
              </w:rPr>
              <w:t>退職給付債務から年金資産を控除した額。簡便法は適用しない</w:t>
            </w:r>
          </w:p>
        </w:tc>
        <w:tc>
          <w:tcPr>
            <w:tcW w:type="dxa" w:w="1134"/>
          </w:tcPr>
          <w:p>
            <w:r>
              <w:rPr>
                <w:rFonts w:ascii="Yu Gothic" w:hAnsi="Yu Gothic" w:eastAsia="Yu Gothic"/>
                <w:b w:val="0"/>
                <w:sz w:val="17"/>
              </w:rPr>
              <w:t>F-18</w:t>
            </w:r>
          </w:p>
        </w:tc>
      </w:tr>
      <w:tr>
        <w:tc>
          <w:tcPr>
            <w:tcW w:type="dxa" w:w="1701"/>
          </w:tcPr>
          <w:p>
            <w:r>
              <w:rPr>
                <w:rFonts w:ascii="Yu Gothic" w:hAnsi="Yu Gothic" w:eastAsia="Yu Gothic"/>
                <w:b w:val="0"/>
                <w:sz w:val="17"/>
              </w:rPr>
              <w:t>資産除去債務</w:t>
            </w:r>
          </w:p>
        </w:tc>
        <w:tc>
          <w:tcPr>
            <w:tcW w:type="dxa" w:w="2551"/>
          </w:tcPr>
          <w:p>
            <w:r>
              <w:rPr>
                <w:rFonts w:ascii="Yu Gothic" w:hAnsi="Yu Gothic" w:eastAsia="Yu Gothic"/>
                <w:b w:val="0"/>
                <w:sz w:val="17"/>
              </w:rPr>
              <w:t>有形固定資産の除去に係る法的義務に備えるため</w:t>
            </w:r>
          </w:p>
        </w:tc>
        <w:tc>
          <w:tcPr>
            <w:tcW w:type="dxa" w:w="3685"/>
          </w:tcPr>
          <w:p>
            <w:r>
              <w:rPr>
                <w:rFonts w:ascii="Yu Gothic" w:hAnsi="Yu Gothic" w:eastAsia="Yu Gothic"/>
                <w:b w:val="0"/>
                <w:sz w:val="17"/>
              </w:rPr>
              <w:t>除去に要する将来の支出額を割引現在価値により算定</w:t>
            </w:r>
          </w:p>
        </w:tc>
        <w:tc>
          <w:tcPr>
            <w:tcW w:type="dxa" w:w="1134"/>
          </w:tcPr>
          <w:p>
            <w:r>
              <w:rPr>
                <w:rFonts w:ascii="Yu Gothic" w:hAnsi="Yu Gothic" w:eastAsia="Yu Gothic"/>
                <w:b w:val="0"/>
                <w:sz w:val="17"/>
              </w:rPr>
              <w:t>F-21</w:t>
            </w:r>
          </w:p>
        </w:tc>
      </w:tr>
    </w:tbl>
    <w:p/>
    <w:p>
      <w:r>
        <w:rPr>
          <w:rFonts w:ascii="Yu Gothic" w:hAnsi="Yu Gothic" w:eastAsia="Yu Gothic"/>
          <w:b/>
          <w:color w:val="1F3864"/>
          <w:sz w:val="22"/>
        </w:rPr>
        <w:t>3-6. 退職給付に係る会計処理</w:t>
      </w:r>
    </w:p>
    <w:tbl>
      <w:tblPr>
        <w:tblStyle w:val="TableGrid"/>
        <w:tblW w:type="auto" w:w="0"/>
        <w:tblLook w:firstColumn="1" w:firstRow="1" w:lastColumn="0" w:lastRow="0" w:noHBand="0" w:noVBand="1" w:val="04A0"/>
      </w:tblPr>
      <w:tblGrid>
        <w:gridCol w:w="4986"/>
        <w:gridCol w:w="4986"/>
      </w:tblGrid>
      <w:tr>
        <w:tc>
          <w:tcPr>
            <w:tcW w:type="dxa" w:w="3118"/>
          </w:tcPr>
          <w:p>
            <w:pPr>
              <w:jc w:val="center"/>
            </w:pPr>
            <w:r>
              <w:rPr>
                <w:rFonts w:ascii="Yu Gothic" w:hAnsi="Yu Gothic" w:eastAsia="Yu Gothic"/>
                <w:b/>
                <w:sz w:val="17"/>
              </w:rPr>
              <w:t>項目</w:t>
            </w:r>
          </w:p>
        </w:tc>
        <w:tc>
          <w:tcPr>
            <w:tcW w:type="dxa" w:w="5953"/>
          </w:tcPr>
          <w:p>
            <w:pPr>
              <w:jc w:val="center"/>
            </w:pPr>
            <w:r>
              <w:rPr>
                <w:rFonts w:ascii="Yu Gothic" w:hAnsi="Yu Gothic" w:eastAsia="Yu Gothic"/>
                <w:b/>
                <w:sz w:val="17"/>
              </w:rPr>
              <w:t>処理方法</w:t>
            </w:r>
          </w:p>
        </w:tc>
      </w:tr>
      <w:tr>
        <w:tc>
          <w:tcPr>
            <w:tcW w:type="dxa" w:w="3118"/>
          </w:tcPr>
          <w:p>
            <w:r>
              <w:rPr>
                <w:rFonts w:ascii="Yu Gothic" w:hAnsi="Yu Gothic" w:eastAsia="Yu Gothic"/>
                <w:b w:val="0"/>
                <w:sz w:val="17"/>
              </w:rPr>
              <w:t>退職給付見込額の期間帰属方法</w:t>
            </w:r>
          </w:p>
        </w:tc>
        <w:tc>
          <w:tcPr>
            <w:tcW w:type="dxa" w:w="5953"/>
          </w:tcPr>
          <w:p>
            <w:r>
              <w:rPr>
                <w:rFonts w:ascii="Yu Gothic" w:hAnsi="Yu Gothic" w:eastAsia="Yu Gothic"/>
                <w:b w:val="0"/>
                <w:sz w:val="17"/>
              </w:rPr>
              <w:t>給付算定式基準</w:t>
            </w:r>
          </w:p>
        </w:tc>
      </w:tr>
      <w:tr>
        <w:tc>
          <w:tcPr>
            <w:tcW w:type="dxa" w:w="3118"/>
          </w:tcPr>
          <w:p>
            <w:r>
              <w:rPr>
                <w:rFonts w:ascii="Yu Gothic" w:hAnsi="Yu Gothic" w:eastAsia="Yu Gothic"/>
                <w:b w:val="0"/>
                <w:sz w:val="17"/>
              </w:rPr>
              <w:t>数理計算上の差異の処理</w:t>
            </w:r>
          </w:p>
        </w:tc>
        <w:tc>
          <w:tcPr>
            <w:tcW w:type="dxa" w:w="5953"/>
          </w:tcPr>
          <w:p>
            <w:r>
              <w:rPr>
                <w:rFonts w:ascii="Yu Gothic" w:hAnsi="Yu Gothic" w:eastAsia="Yu Gothic"/>
                <w:b w:val="0"/>
                <w:sz w:val="17"/>
              </w:rPr>
              <w:t>発生年度の翌年度から、平均残存勤務期間以内の一定年数（10年）による定額法により按分した額を費用処理</w:t>
            </w:r>
          </w:p>
        </w:tc>
      </w:tr>
      <w:tr>
        <w:tc>
          <w:tcPr>
            <w:tcW w:type="dxa" w:w="3118"/>
          </w:tcPr>
          <w:p>
            <w:r>
              <w:rPr>
                <w:rFonts w:ascii="Yu Gothic" w:hAnsi="Yu Gothic" w:eastAsia="Yu Gothic"/>
                <w:b w:val="0"/>
                <w:sz w:val="17"/>
              </w:rPr>
              <w:t>過去勤務費用の処理</w:t>
            </w:r>
          </w:p>
        </w:tc>
        <w:tc>
          <w:tcPr>
            <w:tcW w:type="dxa" w:w="5953"/>
          </w:tcPr>
          <w:p>
            <w:r>
              <w:rPr>
                <w:rFonts w:ascii="Yu Gothic" w:hAnsi="Yu Gothic" w:eastAsia="Yu Gothic"/>
                <w:b w:val="0"/>
                <w:sz w:val="17"/>
              </w:rPr>
              <w:t>発生時の従業員の平均残存勤務期間以内の一定年数（10年）による定額法により費用処理</w:t>
            </w:r>
          </w:p>
        </w:tc>
      </w:tr>
      <w:tr>
        <w:tc>
          <w:tcPr>
            <w:tcW w:type="dxa" w:w="3118"/>
          </w:tcPr>
          <w:p>
            <w:r>
              <w:rPr>
                <w:rFonts w:ascii="Yu Gothic" w:hAnsi="Yu Gothic" w:eastAsia="Yu Gothic"/>
                <w:b w:val="0"/>
                <w:sz w:val="17"/>
              </w:rPr>
              <w:t>割引率</w:t>
            </w:r>
          </w:p>
        </w:tc>
        <w:tc>
          <w:tcPr>
            <w:tcW w:type="dxa" w:w="5953"/>
          </w:tcPr>
          <w:p>
            <w:r>
              <w:rPr>
                <w:rFonts w:ascii="Yu Gothic" w:hAnsi="Yu Gothic" w:eastAsia="Yu Gothic"/>
                <w:b w:val="0"/>
                <w:sz w:val="17"/>
              </w:rPr>
              <w:t>期末における安全性の高い債券の利回りを基礎として決定（基礎率決定資料はF-18）</w:t>
            </w:r>
          </w:p>
        </w:tc>
      </w:tr>
    </w:tbl>
    <w:p/>
    <w:p>
      <w:r>
        <w:rPr>
          <w:rFonts w:ascii="Yu Gothic" w:hAnsi="Yu Gothic" w:eastAsia="Yu Gothic"/>
          <w:b/>
          <w:color w:val="1F3864"/>
          <w:sz w:val="22"/>
        </w:rPr>
        <w:t>3-7. 固定資産の減損</w:t>
      </w:r>
    </w:p>
    <w:p>
      <w:r>
        <w:rPr>
          <w:rFonts w:ascii="Yu Gothic" w:hAnsi="Yu Gothic" w:eastAsia="Yu Gothic"/>
          <w:b w:val="0"/>
          <w:sz w:val="20"/>
        </w:rPr>
        <w:t>資産のグルーピングは、他の資産又は資産グループのキャッシュ・フローから概ね独立したキャッシュ・フローを生み出す最小の単位により行う。当社グループでは原則として「工場単位」をグルーピングの単位とし、本社等の共用資産はより大きな単位に含める。</w:t>
      </w:r>
    </w:p>
    <w:p>
      <w:r>
        <w:rPr>
          <w:rFonts w:ascii="Yu Gothic" w:hAnsi="Yu Gothic" w:eastAsia="Yu Gothic"/>
          <w:b w:val="0"/>
          <w:sz w:val="20"/>
        </w:rPr>
        <w:t>減損の兆候の判定、認識及び測定の手順は「固定資産減損会計 適用要領（F-16）」による。</w:t>
      </w:r>
    </w:p>
    <w:p>
      <w:r>
        <w:rPr>
          <w:rFonts w:ascii="Yu Gothic" w:hAnsi="Yu Gothic" w:eastAsia="Yu Gothic"/>
          <w:b/>
          <w:color w:val="1F3864"/>
          <w:sz w:val="22"/>
        </w:rPr>
        <w:t>3-8. 税効果会計</w:t>
      </w:r>
    </w:p>
    <w:p>
      <w:r>
        <w:rPr>
          <w:rFonts w:ascii="Yu Gothic" w:hAnsi="Yu Gothic" w:eastAsia="Yu Gothic"/>
          <w:b w:val="0"/>
          <w:sz w:val="20"/>
        </w:rPr>
        <w:t>繰延税金資産の回収可能性は、企業会計基準適用指針第26号に基づく企業分類により判定する。当社は「分類2」に該当するものとして判定している。分類の判定及び将来課税所得の見積りの手順は「税効果会計 適用要領（F-19）」による。</w:t>
      </w:r>
    </w:p>
    <w:p>
      <w:r>
        <w:rPr>
          <w:rFonts w:ascii="Yu Gothic" w:hAnsi="Yu Gothic" w:eastAsia="Yu Gothic"/>
          <w:b/>
          <w:color w:val="1F3864"/>
          <w:sz w:val="22"/>
        </w:rPr>
        <w:t>3-9. 外貨建取引等の換算基準</w:t>
      </w:r>
    </w:p>
    <w:tbl>
      <w:tblPr>
        <w:tblStyle w:val="TableGrid"/>
        <w:tblW w:type="auto" w:w="0"/>
        <w:tblLook w:firstColumn="1" w:firstRow="1" w:lastColumn="0" w:lastRow="0" w:noHBand="0" w:noVBand="1" w:val="04A0"/>
      </w:tblPr>
      <w:tblGrid>
        <w:gridCol w:w="4986"/>
        <w:gridCol w:w="4986"/>
      </w:tblGrid>
      <w:tr>
        <w:tc>
          <w:tcPr>
            <w:tcW w:type="dxa" w:w="3402"/>
          </w:tcPr>
          <w:p>
            <w:pPr>
              <w:jc w:val="center"/>
            </w:pPr>
            <w:r>
              <w:rPr>
                <w:rFonts w:ascii="Yu Gothic" w:hAnsi="Yu Gothic" w:eastAsia="Yu Gothic"/>
                <w:b/>
                <w:sz w:val="17"/>
              </w:rPr>
              <w:t>区分</w:t>
            </w:r>
          </w:p>
        </w:tc>
        <w:tc>
          <w:tcPr>
            <w:tcW w:type="dxa" w:w="5669"/>
          </w:tcPr>
          <w:p>
            <w:pPr>
              <w:jc w:val="center"/>
            </w:pPr>
            <w:r>
              <w:rPr>
                <w:rFonts w:ascii="Yu Gothic" w:hAnsi="Yu Gothic" w:eastAsia="Yu Gothic"/>
                <w:b/>
                <w:sz w:val="17"/>
              </w:rPr>
              <w:t>換算方法</w:t>
            </w:r>
          </w:p>
        </w:tc>
      </w:tr>
      <w:tr>
        <w:tc>
          <w:tcPr>
            <w:tcW w:type="dxa" w:w="3402"/>
          </w:tcPr>
          <w:p>
            <w:r>
              <w:rPr>
                <w:rFonts w:ascii="Yu Gothic" w:hAnsi="Yu Gothic" w:eastAsia="Yu Gothic"/>
                <w:b w:val="0"/>
                <w:sz w:val="17"/>
              </w:rPr>
              <w:t>外貨建金銭債権債務</w:t>
            </w:r>
          </w:p>
        </w:tc>
        <w:tc>
          <w:tcPr>
            <w:tcW w:type="dxa" w:w="5669"/>
          </w:tcPr>
          <w:p>
            <w:r>
              <w:rPr>
                <w:rFonts w:ascii="Yu Gothic" w:hAnsi="Yu Gothic" w:eastAsia="Yu Gothic"/>
                <w:b w:val="0"/>
                <w:sz w:val="17"/>
              </w:rPr>
              <w:t>決算日の直物為替相場により円貨に換算し、換算差額は損益として処理</w:t>
            </w:r>
          </w:p>
        </w:tc>
      </w:tr>
      <w:tr>
        <w:tc>
          <w:tcPr>
            <w:tcW w:type="dxa" w:w="3402"/>
          </w:tcPr>
          <w:p>
            <w:r>
              <w:rPr>
                <w:rFonts w:ascii="Yu Gothic" w:hAnsi="Yu Gothic" w:eastAsia="Yu Gothic"/>
                <w:b w:val="0"/>
                <w:sz w:val="17"/>
              </w:rPr>
              <w:t>在外子会社の資産・負債</w:t>
            </w:r>
          </w:p>
        </w:tc>
        <w:tc>
          <w:tcPr>
            <w:tcW w:type="dxa" w:w="5669"/>
          </w:tcPr>
          <w:p>
            <w:r>
              <w:rPr>
                <w:rFonts w:ascii="Yu Gothic" w:hAnsi="Yu Gothic" w:eastAsia="Yu Gothic"/>
                <w:b w:val="0"/>
                <w:sz w:val="17"/>
              </w:rPr>
              <w:t>決算日の直物為替相場（CR）により換算</w:t>
            </w:r>
          </w:p>
        </w:tc>
      </w:tr>
      <w:tr>
        <w:tc>
          <w:tcPr>
            <w:tcW w:type="dxa" w:w="3402"/>
          </w:tcPr>
          <w:p>
            <w:r>
              <w:rPr>
                <w:rFonts w:ascii="Yu Gothic" w:hAnsi="Yu Gothic" w:eastAsia="Yu Gothic"/>
                <w:b w:val="0"/>
                <w:sz w:val="17"/>
              </w:rPr>
              <w:t>在外子会社の収益・費用</w:t>
            </w:r>
          </w:p>
        </w:tc>
        <w:tc>
          <w:tcPr>
            <w:tcW w:type="dxa" w:w="5669"/>
          </w:tcPr>
          <w:p>
            <w:r>
              <w:rPr>
                <w:rFonts w:ascii="Yu Gothic" w:hAnsi="Yu Gothic" w:eastAsia="Yu Gothic"/>
                <w:b w:val="0"/>
                <w:sz w:val="17"/>
              </w:rPr>
              <w:t>期中平均相場（AR）により換算</w:t>
            </w:r>
          </w:p>
        </w:tc>
      </w:tr>
      <w:tr>
        <w:tc>
          <w:tcPr>
            <w:tcW w:type="dxa" w:w="3402"/>
          </w:tcPr>
          <w:p>
            <w:r>
              <w:rPr>
                <w:rFonts w:ascii="Yu Gothic" w:hAnsi="Yu Gothic" w:eastAsia="Yu Gothic"/>
                <w:b w:val="0"/>
                <w:sz w:val="17"/>
              </w:rPr>
              <w:t>在外子会社の純資産（取得時のもの）</w:t>
            </w:r>
          </w:p>
        </w:tc>
        <w:tc>
          <w:tcPr>
            <w:tcW w:type="dxa" w:w="5669"/>
          </w:tcPr>
          <w:p>
            <w:r>
              <w:rPr>
                <w:rFonts w:ascii="Yu Gothic" w:hAnsi="Yu Gothic" w:eastAsia="Yu Gothic"/>
                <w:b w:val="0"/>
                <w:sz w:val="17"/>
              </w:rPr>
              <w:t>取得時の為替相場（HR）により換算</w:t>
            </w:r>
          </w:p>
        </w:tc>
      </w:tr>
      <w:tr>
        <w:tc>
          <w:tcPr>
            <w:tcW w:type="dxa" w:w="3402"/>
          </w:tcPr>
          <w:p>
            <w:r>
              <w:rPr>
                <w:rFonts w:ascii="Yu Gothic" w:hAnsi="Yu Gothic" w:eastAsia="Yu Gothic"/>
                <w:b w:val="0"/>
                <w:sz w:val="17"/>
              </w:rPr>
              <w:t>換算差額</w:t>
            </w:r>
          </w:p>
        </w:tc>
        <w:tc>
          <w:tcPr>
            <w:tcW w:type="dxa" w:w="5669"/>
          </w:tcPr>
          <w:p>
            <w:r>
              <w:rPr>
                <w:rFonts w:ascii="Yu Gothic" w:hAnsi="Yu Gothic" w:eastAsia="Yu Gothic"/>
                <w:b w:val="0"/>
                <w:sz w:val="17"/>
              </w:rPr>
              <w:t>為替換算調整勘定として純資産の部に計上</w:t>
            </w:r>
          </w:p>
        </w:tc>
      </w:tr>
    </w:tbl>
    <w:p/>
    <w:p>
      <w:r>
        <w:rPr>
          <w:rFonts w:ascii="Yu Gothic" w:hAnsi="Yu Gothic" w:eastAsia="Yu Gothic"/>
          <w:b w:val="0"/>
          <w:sz w:val="20"/>
        </w:rPr>
        <w:t>適用する為替レートは、経理部が四半期ごとに為替レートマスタを更新し、経理部長の承認を得る。手順は「在外子会社換算要領（F-27）」による。</w:t>
      </w:r>
    </w:p>
    <w:p>
      <w:r>
        <w:rPr>
          <w:rFonts w:ascii="Yu Gothic" w:hAnsi="Yu Gothic" w:eastAsia="Yu Gothic"/>
          <w:b/>
          <w:color w:val="1F3864"/>
          <w:sz w:val="22"/>
        </w:rPr>
        <w:t>3-10. 連結の方針</w:t>
      </w:r>
    </w:p>
    <w:tbl>
      <w:tblPr>
        <w:tblStyle w:val="TableGrid"/>
        <w:tblW w:type="auto" w:w="0"/>
        <w:tblLook w:firstColumn="1" w:firstRow="1" w:lastColumn="0" w:lastRow="0" w:noHBand="0" w:noVBand="1" w:val="04A0"/>
      </w:tblPr>
      <w:tblGrid>
        <w:gridCol w:w="4986"/>
        <w:gridCol w:w="4986"/>
      </w:tblGrid>
      <w:tr>
        <w:tc>
          <w:tcPr>
            <w:tcW w:type="dxa" w:w="2551"/>
          </w:tcPr>
          <w:p>
            <w:pPr>
              <w:jc w:val="center"/>
            </w:pPr>
            <w:r>
              <w:rPr>
                <w:rFonts w:ascii="Yu Gothic" w:hAnsi="Yu Gothic" w:eastAsia="Yu Gothic"/>
                <w:b/>
                <w:sz w:val="17"/>
              </w:rPr>
              <w:t>項目</w:t>
            </w:r>
          </w:p>
        </w:tc>
        <w:tc>
          <w:tcPr>
            <w:tcW w:type="dxa" w:w="6520"/>
          </w:tcPr>
          <w:p>
            <w:pPr>
              <w:jc w:val="center"/>
            </w:pPr>
            <w:r>
              <w:rPr>
                <w:rFonts w:ascii="Yu Gothic" w:hAnsi="Yu Gothic" w:eastAsia="Yu Gothic"/>
                <w:b/>
                <w:sz w:val="17"/>
              </w:rPr>
              <w:t>方針</w:t>
            </w:r>
          </w:p>
        </w:tc>
      </w:tr>
      <w:tr>
        <w:tc>
          <w:tcPr>
            <w:tcW w:type="dxa" w:w="2551"/>
          </w:tcPr>
          <w:p>
            <w:r>
              <w:rPr>
                <w:rFonts w:ascii="Yu Gothic" w:hAnsi="Yu Gothic" w:eastAsia="Yu Gothic"/>
                <w:b w:val="0"/>
                <w:sz w:val="17"/>
              </w:rPr>
              <w:t>連結の範囲</w:t>
            </w:r>
          </w:p>
        </w:tc>
        <w:tc>
          <w:tcPr>
            <w:tcW w:type="dxa" w:w="6520"/>
          </w:tcPr>
          <w:p>
            <w:r>
              <w:rPr>
                <w:rFonts w:ascii="Yu Gothic" w:hAnsi="Yu Gothic" w:eastAsia="Yu Gothic"/>
                <w:b w:val="0"/>
                <w:sz w:val="17"/>
              </w:rPr>
              <w:t>支配力基準により判定。FY2025は子会社4社すべてを連結</w:t>
            </w:r>
          </w:p>
        </w:tc>
      </w:tr>
      <w:tr>
        <w:tc>
          <w:tcPr>
            <w:tcW w:type="dxa" w:w="2551"/>
          </w:tcPr>
          <w:p>
            <w:r>
              <w:rPr>
                <w:rFonts w:ascii="Yu Gothic" w:hAnsi="Yu Gothic" w:eastAsia="Yu Gothic"/>
                <w:b w:val="0"/>
                <w:sz w:val="17"/>
              </w:rPr>
              <w:t>持分法</w:t>
            </w:r>
          </w:p>
        </w:tc>
        <w:tc>
          <w:tcPr>
            <w:tcW w:type="dxa" w:w="6520"/>
          </w:tcPr>
          <w:p>
            <w:r>
              <w:rPr>
                <w:rFonts w:ascii="Yu Gothic" w:hAnsi="Yu Gothic" w:eastAsia="Yu Gothic"/>
                <w:b w:val="0"/>
                <w:sz w:val="17"/>
              </w:rPr>
              <w:t>適用会社なし</w:t>
            </w:r>
          </w:p>
        </w:tc>
      </w:tr>
      <w:tr>
        <w:tc>
          <w:tcPr>
            <w:tcW w:type="dxa" w:w="2551"/>
          </w:tcPr>
          <w:p>
            <w:r>
              <w:rPr>
                <w:rFonts w:ascii="Yu Gothic" w:hAnsi="Yu Gothic" w:eastAsia="Yu Gothic"/>
                <w:b w:val="0"/>
                <w:sz w:val="17"/>
              </w:rPr>
              <w:t>連結決算日</w:t>
            </w:r>
          </w:p>
        </w:tc>
        <w:tc>
          <w:tcPr>
            <w:tcW w:type="dxa" w:w="6520"/>
          </w:tcPr>
          <w:p>
            <w:r>
              <w:rPr>
                <w:rFonts w:ascii="Yu Gothic" w:hAnsi="Yu Gothic" w:eastAsia="Yu Gothic"/>
                <w:b w:val="0"/>
                <w:sz w:val="17"/>
              </w:rPr>
              <w:t>3月31日。すべての子会社の決算日は連結決算日と一致</w:t>
            </w:r>
          </w:p>
        </w:tc>
      </w:tr>
      <w:tr>
        <w:tc>
          <w:tcPr>
            <w:tcW w:type="dxa" w:w="2551"/>
          </w:tcPr>
          <w:p>
            <w:r>
              <w:rPr>
                <w:rFonts w:ascii="Yu Gothic" w:hAnsi="Yu Gothic" w:eastAsia="Yu Gothic"/>
                <w:b w:val="0"/>
                <w:sz w:val="17"/>
              </w:rPr>
              <w:t>のれんの償却</w:t>
            </w:r>
          </w:p>
        </w:tc>
        <w:tc>
          <w:tcPr>
            <w:tcW w:type="dxa" w:w="6520"/>
          </w:tcPr>
          <w:p>
            <w:r>
              <w:rPr>
                <w:rFonts w:ascii="Yu Gothic" w:hAnsi="Yu Gothic" w:eastAsia="Yu Gothic"/>
                <w:b w:val="0"/>
                <w:sz w:val="17"/>
              </w:rPr>
              <w:t>効果の及ぶ期間（10年）にわたる定額法</w:t>
            </w:r>
          </w:p>
        </w:tc>
      </w:tr>
      <w:tr>
        <w:tc>
          <w:tcPr>
            <w:tcW w:type="dxa" w:w="2551"/>
          </w:tcPr>
          <w:p>
            <w:r>
              <w:rPr>
                <w:rFonts w:ascii="Yu Gothic" w:hAnsi="Yu Gothic" w:eastAsia="Yu Gothic"/>
                <w:b w:val="0"/>
                <w:sz w:val="17"/>
              </w:rPr>
              <w:t>未実現利益の消去</w:t>
            </w:r>
          </w:p>
        </w:tc>
        <w:tc>
          <w:tcPr>
            <w:tcW w:type="dxa" w:w="6520"/>
          </w:tcPr>
          <w:p>
            <w:r>
              <w:rPr>
                <w:rFonts w:ascii="Yu Gothic" w:hAnsi="Yu Gothic" w:eastAsia="Yu Gothic"/>
                <w:b w:val="0"/>
                <w:sz w:val="17"/>
              </w:rPr>
              <w:t>グループ間取引により生じた期末棚卸資産に含まれる未実現利益を全額消去</w:t>
            </w:r>
          </w:p>
        </w:tc>
      </w:tr>
      <w:tr>
        <w:tc>
          <w:tcPr>
            <w:tcW w:type="dxa" w:w="2551"/>
          </w:tcPr>
          <w:p>
            <w:r>
              <w:rPr>
                <w:rFonts w:ascii="Yu Gothic" w:hAnsi="Yu Gothic" w:eastAsia="Yu Gothic"/>
                <w:b w:val="0"/>
                <w:sz w:val="17"/>
              </w:rPr>
              <w:t>会計方針の統一</w:t>
            </w:r>
          </w:p>
        </w:tc>
        <w:tc>
          <w:tcPr>
            <w:tcW w:type="dxa" w:w="6520"/>
          </w:tcPr>
          <w:p>
            <w:r>
              <w:rPr>
                <w:rFonts w:ascii="Yu Gothic" w:hAnsi="Yu Gothic" w:eastAsia="Yu Gothic"/>
                <w:b w:val="0"/>
                <w:sz w:val="17"/>
              </w:rPr>
              <w:t>グループ統一会計方針書（C-06）により統一</w:t>
            </w:r>
          </w:p>
        </w:tc>
      </w:tr>
    </w:tbl>
    <w:p/>
    <w:p>
      <w:r>
        <w:rPr>
          <w:rFonts w:ascii="Yu Gothic" w:hAnsi="Yu Gothic" w:eastAsia="Yu Gothic"/>
          <w:b/>
          <w:color w:val="2F5597"/>
          <w:sz w:val="26"/>
        </w:rPr>
        <w:t>4. 会計方針の変更履歴</w:t>
      </w:r>
    </w:p>
    <w:tbl>
      <w:tblPr>
        <w:tblStyle w:val="TableGrid"/>
        <w:tblW w:type="auto" w:w="0"/>
        <w:tblLook w:firstColumn="1" w:firstRow="1" w:lastColumn="0" w:lastRow="0" w:noHBand="0" w:noVBand="1" w:val="04A0"/>
      </w:tblPr>
      <w:tblGrid>
        <w:gridCol w:w="2493"/>
        <w:gridCol w:w="2493"/>
        <w:gridCol w:w="2493"/>
        <w:gridCol w:w="2493"/>
      </w:tblGrid>
      <w:tr>
        <w:tc>
          <w:tcPr>
            <w:tcW w:type="dxa" w:w="1701"/>
          </w:tcPr>
          <w:p>
            <w:pPr>
              <w:jc w:val="center"/>
            </w:pPr>
            <w:r>
              <w:rPr>
                <w:rFonts w:ascii="Yu Gothic" w:hAnsi="Yu Gothic" w:eastAsia="Yu Gothic"/>
                <w:b/>
                <w:sz w:val="17"/>
              </w:rPr>
              <w:t>適用年度</w:t>
            </w:r>
          </w:p>
        </w:tc>
        <w:tc>
          <w:tcPr>
            <w:tcW w:type="dxa" w:w="3118"/>
          </w:tcPr>
          <w:p>
            <w:pPr>
              <w:jc w:val="center"/>
            </w:pPr>
            <w:r>
              <w:rPr>
                <w:rFonts w:ascii="Yu Gothic" w:hAnsi="Yu Gothic" w:eastAsia="Yu Gothic"/>
                <w:b/>
                <w:sz w:val="17"/>
              </w:rPr>
              <w:t>変更内容</w:t>
            </w:r>
          </w:p>
        </w:tc>
        <w:tc>
          <w:tcPr>
            <w:tcW w:type="dxa" w:w="1984"/>
          </w:tcPr>
          <w:p>
            <w:pPr>
              <w:jc w:val="center"/>
            </w:pPr>
            <w:r>
              <w:rPr>
                <w:rFonts w:ascii="Yu Gothic" w:hAnsi="Yu Gothic" w:eastAsia="Yu Gothic"/>
                <w:b/>
                <w:sz w:val="17"/>
              </w:rPr>
              <w:t>理由</w:t>
            </w:r>
          </w:p>
        </w:tc>
        <w:tc>
          <w:tcPr>
            <w:tcW w:type="dxa" w:w="2268"/>
          </w:tcPr>
          <w:p>
            <w:pPr>
              <w:jc w:val="center"/>
            </w:pPr>
            <w:r>
              <w:rPr>
                <w:rFonts w:ascii="Yu Gothic" w:hAnsi="Yu Gothic" w:eastAsia="Yu Gothic"/>
                <w:b/>
                <w:sz w:val="17"/>
              </w:rPr>
              <w:t>影響額</w:t>
            </w:r>
          </w:p>
        </w:tc>
      </w:tr>
      <w:tr>
        <w:tc>
          <w:tcPr>
            <w:tcW w:type="dxa" w:w="1701"/>
          </w:tcPr>
          <w:p>
            <w:r>
              <w:rPr>
                <w:rFonts w:ascii="Yu Gothic" w:hAnsi="Yu Gothic" w:eastAsia="Yu Gothic"/>
                <w:b w:val="0"/>
                <w:sz w:val="17"/>
              </w:rPr>
              <w:t>FY2021</w:t>
            </w:r>
          </w:p>
        </w:tc>
        <w:tc>
          <w:tcPr>
            <w:tcW w:type="dxa" w:w="3118"/>
          </w:tcPr>
          <w:p>
            <w:r>
              <w:rPr>
                <w:rFonts w:ascii="Yu Gothic" w:hAnsi="Yu Gothic" w:eastAsia="Yu Gothic"/>
                <w:b w:val="0"/>
                <w:sz w:val="17"/>
              </w:rPr>
              <w:t>収益認識に関する会計基準の適用</w:t>
            </w:r>
          </w:p>
        </w:tc>
        <w:tc>
          <w:tcPr>
            <w:tcW w:type="dxa" w:w="1984"/>
          </w:tcPr>
          <w:p>
            <w:r>
              <w:rPr>
                <w:rFonts w:ascii="Yu Gothic" w:hAnsi="Yu Gothic" w:eastAsia="Yu Gothic"/>
                <w:b w:val="0"/>
                <w:sz w:val="17"/>
              </w:rPr>
              <w:t>会計基準等の改正</w:t>
            </w:r>
          </w:p>
        </w:tc>
        <w:tc>
          <w:tcPr>
            <w:tcW w:type="dxa" w:w="2268"/>
          </w:tcPr>
          <w:p>
            <w:r>
              <w:rPr>
                <w:rFonts w:ascii="Yu Gothic" w:hAnsi="Yu Gothic" w:eastAsia="Yu Gothic"/>
                <w:b w:val="0"/>
                <w:sz w:val="17"/>
              </w:rPr>
              <w:t>有償支給取引の純額表示化により売上高が減少（△420百万円）</w:t>
            </w:r>
          </w:p>
        </w:tc>
      </w:tr>
      <w:tr>
        <w:tc>
          <w:tcPr>
            <w:tcW w:type="dxa" w:w="1701"/>
          </w:tcPr>
          <w:p>
            <w:r>
              <w:rPr>
                <w:rFonts w:ascii="Yu Gothic" w:hAnsi="Yu Gothic" w:eastAsia="Yu Gothic"/>
                <w:b w:val="0"/>
                <w:sz w:val="17"/>
              </w:rPr>
              <w:t>FY2024</w:t>
            </w:r>
          </w:p>
        </w:tc>
        <w:tc>
          <w:tcPr>
            <w:tcW w:type="dxa" w:w="3118"/>
          </w:tcPr>
          <w:p>
            <w:r>
              <w:rPr>
                <w:rFonts w:ascii="Yu Gothic" w:hAnsi="Yu Gothic" w:eastAsia="Yu Gothic"/>
                <w:b w:val="0"/>
                <w:sz w:val="17"/>
              </w:rPr>
              <w:t>法人税、住民税及び事業税等に関する会計基準の改正の適用</w:t>
            </w:r>
          </w:p>
        </w:tc>
        <w:tc>
          <w:tcPr>
            <w:tcW w:type="dxa" w:w="1984"/>
          </w:tcPr>
          <w:p>
            <w:r>
              <w:rPr>
                <w:rFonts w:ascii="Yu Gothic" w:hAnsi="Yu Gothic" w:eastAsia="Yu Gothic"/>
                <w:b w:val="0"/>
                <w:sz w:val="17"/>
              </w:rPr>
              <w:t>会計基準等の改正</w:t>
            </w:r>
          </w:p>
        </w:tc>
        <w:tc>
          <w:tcPr>
            <w:tcW w:type="dxa" w:w="2268"/>
          </w:tcPr>
          <w:p>
            <w:r>
              <w:rPr>
                <w:rFonts w:ascii="Yu Gothic" w:hAnsi="Yu Gothic" w:eastAsia="Yu Gothic"/>
                <w:b w:val="0"/>
                <w:sz w:val="17"/>
              </w:rPr>
              <w:t>軽微</w:t>
            </w:r>
          </w:p>
        </w:tc>
      </w:tr>
      <w:tr>
        <w:tc>
          <w:tcPr>
            <w:tcW w:type="dxa" w:w="1701"/>
          </w:tcPr>
          <w:p>
            <w:r>
              <w:rPr>
                <w:rFonts w:ascii="Yu Gothic" w:hAnsi="Yu Gothic" w:eastAsia="Yu Gothic"/>
                <w:b w:val="0"/>
                <w:sz w:val="17"/>
              </w:rPr>
              <w:t>FY2027（予定）</w:t>
            </w:r>
          </w:p>
        </w:tc>
        <w:tc>
          <w:tcPr>
            <w:tcW w:type="dxa" w:w="3118"/>
          </w:tcPr>
          <w:p>
            <w:r>
              <w:rPr>
                <w:rFonts w:ascii="Yu Gothic" w:hAnsi="Yu Gothic" w:eastAsia="Yu Gothic"/>
                <w:b w:val="0"/>
                <w:sz w:val="17"/>
              </w:rPr>
              <w:t>リースに関する会計基準（企業会計基準第34号）の適用</w:t>
            </w:r>
          </w:p>
        </w:tc>
        <w:tc>
          <w:tcPr>
            <w:tcW w:type="dxa" w:w="1984"/>
          </w:tcPr>
          <w:p>
            <w:r>
              <w:rPr>
                <w:rFonts w:ascii="Yu Gothic" w:hAnsi="Yu Gothic" w:eastAsia="Yu Gothic"/>
                <w:b w:val="0"/>
                <w:sz w:val="17"/>
              </w:rPr>
              <w:t>会計基準等の改正</w:t>
            </w:r>
          </w:p>
        </w:tc>
        <w:tc>
          <w:tcPr>
            <w:tcW w:type="dxa" w:w="2268"/>
          </w:tcPr>
          <w:p>
            <w:r>
              <w:rPr>
                <w:rFonts w:ascii="Yu Gothic" w:hAnsi="Yu Gothic" w:eastAsia="Yu Gothic"/>
                <w:b w:val="0"/>
                <w:sz w:val="17"/>
              </w:rPr>
              <w:t>試算中（有形固定資産及びリース債務が約350百万円増加する見込み）</w:t>
            </w:r>
          </w:p>
        </w:tc>
      </w:tr>
    </w:tbl>
    <w:p/>
    <w:p>
      <w:r>
        <w:rPr>
          <w:rFonts w:ascii="Yu Gothic" w:hAnsi="Yu Gothic" w:eastAsia="Yu Gothic"/>
          <w:b/>
          <w:color w:val="2F5597"/>
          <w:sz w:val="26"/>
        </w:rPr>
        <w:t>5. 本マニュアルの改訂</w:t>
      </w:r>
    </w:p>
    <w:p>
      <w:r>
        <w:rPr>
          <w:rFonts w:ascii="Yu Gothic" w:hAnsi="Yu Gothic" w:eastAsia="Yu Gothic"/>
          <w:b w:val="0"/>
          <w:sz w:val="20"/>
        </w:rPr>
        <w:t>本マニュアルは、次の場合に改訂する。</w:t>
      </w:r>
    </w:p>
    <w:p>
      <w:pPr>
        <w:pStyle w:val="ListBullet"/>
      </w:pPr>
      <w:r>
        <w:rPr>
          <w:rFonts w:ascii="Yu Gothic" w:hAnsi="Yu Gothic" w:eastAsia="Yu Gothic"/>
          <w:b w:val="0"/>
          <w:sz w:val="20"/>
        </w:rPr>
        <w:t>会計基準等の改正により会計方針の変更が必要となった場合（E-15の改正対応管理表と連動）</w:t>
      </w:r>
    </w:p>
    <w:p>
      <w:pPr>
        <w:pStyle w:val="ListBullet"/>
      </w:pPr>
      <w:r>
        <w:rPr>
          <w:rFonts w:ascii="Yu Gothic" w:hAnsi="Yu Gothic" w:eastAsia="Yu Gothic"/>
          <w:b w:val="0"/>
          <w:sz w:val="20"/>
        </w:rPr>
        <w:t>新たな取引類型が生じ、会計処理を定める必要が生じた場合</w:t>
      </w:r>
    </w:p>
    <w:p>
      <w:pPr>
        <w:pStyle w:val="ListBullet"/>
      </w:pPr>
      <w:r>
        <w:rPr>
          <w:rFonts w:ascii="Yu Gothic" w:hAnsi="Yu Gothic" w:eastAsia="Yu Gothic"/>
          <w:b w:val="0"/>
          <w:sz w:val="20"/>
        </w:rPr>
        <w:t>年1回の定期見直し（E-17 規程・業務手順 年次レビュー要領による）</w:t>
      </w:r>
    </w:p>
    <w:p>
      <w:r>
        <w:rPr>
          <w:rFonts w:ascii="Yu Gothic" w:hAnsi="Yu Gothic" w:eastAsia="Yu Gothic"/>
          <w:b w:val="0"/>
          <w:sz w:val="20"/>
        </w:rPr>
        <w:t>改訂は取締役CFOの承認による。ただし会計方針の変更を伴う場合は取締役会の決議を要する。</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