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1F3864"/>
          <w:sz w:val="32"/>
        </w:rPr>
        <w:t>連結パッケージ記入要領</w:t>
      </w:r>
    </w:p>
    <w:p>
      <w:pPr>
        <w:jc w:val="center"/>
      </w:pPr>
      <w:r>
        <w:rPr>
          <w:rFonts w:ascii="Yu Gothic" w:hAnsi="Yu Gothic" w:eastAsia="Yu Gothic"/>
          <w:b w:val="0"/>
          <w:color w:val="595959"/>
          <w:sz w:val="18"/>
        </w:rPr>
        <w:t>文書番号：C-07　／　デモA株式会社グループ　／　版数 v2.1　／　2025年4月1日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Yu Gothic" w:hAnsi="Yu Gothic" w:eastAsia="Yu Gothic"/>
                <w:b/>
                <w:sz w:val="18"/>
              </w:rPr>
              <w:t>文書番号</w:t>
            </w:r>
          </w:p>
        </w:tc>
        <w:tc>
          <w:tcPr>
            <w:tcW w:type="dxa" w:w="4986"/>
          </w:tcPr>
          <w:p>
            <w:r>
              <w:rPr>
                <w:rFonts w:ascii="Yu Gothic" w:hAnsi="Yu Gothic" w:eastAsia="Yu Gothic"/>
                <w:b w:val="0"/>
                <w:sz w:val="18"/>
              </w:rPr>
              <w:t>C-07</w:t>
            </w:r>
          </w:p>
        </w:tc>
      </w:tr>
      <w:tr>
        <w:tc>
          <w:tcPr>
            <w:tcW w:type="dxa" w:w="4986"/>
          </w:tcPr>
          <w:p>
            <w:r>
              <w:rPr>
                <w:rFonts w:ascii="Yu Gothic" w:hAnsi="Yu Gothic" w:eastAsia="Yu Gothic"/>
                <w:b/>
                <w:sz w:val="18"/>
              </w:rPr>
              <w:t>主管部門</w:t>
            </w:r>
          </w:p>
        </w:tc>
        <w:tc>
          <w:tcPr>
            <w:tcW w:type="dxa" w:w="4986"/>
          </w:tcPr>
          <w:p>
            <w:r>
              <w:rPr>
                <w:rFonts w:ascii="Yu Gothic" w:hAnsi="Yu Gothic" w:eastAsia="Yu Gothic"/>
                <w:b w:val="0"/>
                <w:sz w:val="18"/>
              </w:rPr>
              <w:t>経理部 財務会計課</w:t>
            </w:r>
          </w:p>
        </w:tc>
      </w:tr>
      <w:tr>
        <w:tc>
          <w:tcPr>
            <w:tcW w:type="dxa" w:w="4986"/>
          </w:tcPr>
          <w:p>
            <w:r>
              <w:rPr>
                <w:rFonts w:ascii="Yu Gothic" w:hAnsi="Yu Gothic" w:eastAsia="Yu Gothic"/>
                <w:b/>
                <w:sz w:val="18"/>
              </w:rPr>
              <w:t>配付先</w:t>
            </w:r>
          </w:p>
        </w:tc>
        <w:tc>
          <w:tcPr>
            <w:tcW w:type="dxa" w:w="4986"/>
          </w:tcPr>
          <w:p>
            <w:r>
              <w:rPr>
                <w:rFonts w:ascii="Yu Gothic" w:hAnsi="Yu Gothic" w:eastAsia="Yu Gothic"/>
                <w:b w:val="0"/>
                <w:sz w:val="18"/>
              </w:rPr>
              <w:t>各子会社の経理責任者</w:t>
            </w:r>
          </w:p>
        </w:tc>
      </w:tr>
      <w:tr>
        <w:tc>
          <w:tcPr>
            <w:tcW w:type="dxa" w:w="4986"/>
          </w:tcPr>
          <w:p>
            <w:r>
              <w:rPr>
                <w:rFonts w:ascii="Yu Gothic" w:hAnsi="Yu Gothic" w:eastAsia="Yu Gothic"/>
                <w:b/>
                <w:sz w:val="18"/>
              </w:rPr>
              <w:t>様式</w:t>
            </w:r>
          </w:p>
        </w:tc>
        <w:tc>
          <w:tcPr>
            <w:tcW w:type="dxa" w:w="4986"/>
          </w:tcPr>
          <w:p>
            <w:r>
              <w:rPr>
                <w:rFonts w:ascii="Yu Gothic" w:hAnsi="Yu Gothic" w:eastAsia="Yu Gothic"/>
                <w:b w:val="0"/>
                <w:sz w:val="18"/>
              </w:rPr>
              <w:t>F-FCR-009 連結パッケージ（ブランク様式）</w:t>
            </w:r>
          </w:p>
        </w:tc>
      </w:tr>
      <w:tr>
        <w:tc>
          <w:tcPr>
            <w:tcW w:type="dxa" w:w="4986"/>
          </w:tcPr>
          <w:p>
            <w:r>
              <w:rPr>
                <w:rFonts w:ascii="Yu Gothic" w:hAnsi="Yu Gothic" w:eastAsia="Yu Gothic"/>
                <w:b/>
                <w:sz w:val="18"/>
              </w:rPr>
              <w:t>提出期限</w:t>
            </w:r>
          </w:p>
        </w:tc>
        <w:tc>
          <w:tcPr>
            <w:tcW w:type="dxa" w:w="4986"/>
          </w:tcPr>
          <w:p>
            <w:r>
              <w:rPr>
                <w:rFonts w:ascii="Yu Gothic" w:hAnsi="Yu Gothic" w:eastAsia="Yu Gothic"/>
                <w:b w:val="0"/>
                <w:sz w:val="18"/>
              </w:rPr>
              <w:t>決算日後5営業日</w:t>
            </w:r>
          </w:p>
        </w:tc>
      </w:tr>
      <w:tr>
        <w:tc>
          <w:tcPr>
            <w:tcW w:type="dxa" w:w="4986"/>
          </w:tcPr>
          <w:p>
            <w:r>
              <w:rPr>
                <w:rFonts w:ascii="Yu Gothic" w:hAnsi="Yu Gothic" w:eastAsia="Yu Gothic"/>
                <w:b/>
                <w:sz w:val="18"/>
              </w:rPr>
              <w:t>提出方法</w:t>
            </w:r>
          </w:p>
        </w:tc>
        <w:tc>
          <w:tcPr>
            <w:tcW w:type="dxa" w:w="4986"/>
          </w:tcPr>
          <w:p>
            <w:r>
              <w:rPr>
                <w:rFonts w:ascii="Yu Gothic" w:hAnsi="Yu Gothic" w:eastAsia="Yu Gothic"/>
                <w:b w:val="0"/>
                <w:sz w:val="18"/>
              </w:rPr>
              <w:t>連結決算システム（S05）へアップロード</w:t>
            </w:r>
          </w:p>
        </w:tc>
      </w:tr>
      <w:tr>
        <w:tc>
          <w:tcPr>
            <w:tcW w:type="dxa" w:w="4986"/>
          </w:tcPr>
          <w:p>
            <w:r>
              <w:rPr>
                <w:rFonts w:ascii="Yu Gothic" w:hAnsi="Yu Gothic" w:eastAsia="Yu Gothic"/>
                <w:b/>
                <w:sz w:val="18"/>
              </w:rPr>
              <w:t>関連統制</w:t>
            </w:r>
          </w:p>
        </w:tc>
        <w:tc>
          <w:tcPr>
            <w:tcW w:type="dxa" w:w="4986"/>
          </w:tcPr>
          <w:p>
            <w:r>
              <w:rPr>
                <w:rFonts w:ascii="Yu Gothic" w:hAnsi="Yu Gothic" w:eastAsia="Yu Gothic"/>
                <w:b w:val="0"/>
                <w:sz w:val="18"/>
              </w:rPr>
              <w:t>FCRP-002</w:t>
            </w:r>
          </w:p>
        </w:tc>
      </w:tr>
      <w:tr>
        <w:tc>
          <w:tcPr>
            <w:tcW w:type="dxa" w:w="4986"/>
          </w:tcPr>
          <w:p>
            <w:r>
              <w:rPr>
                <w:rFonts w:ascii="Yu Gothic" w:hAnsi="Yu Gothic" w:eastAsia="Yu Gothic"/>
                <w:b/>
                <w:sz w:val="18"/>
              </w:rPr>
              <w:t>問合せ先</w:t>
            </w:r>
          </w:p>
        </w:tc>
        <w:tc>
          <w:tcPr>
            <w:tcW w:type="dxa" w:w="4986"/>
          </w:tcPr>
          <w:p>
            <w:r>
              <w:rPr>
                <w:rFonts w:ascii="Yu Gothic" w:hAnsi="Yu Gothic" w:eastAsia="Yu Gothic"/>
                <w:b w:val="0"/>
                <w:sz w:val="18"/>
              </w:rPr>
              <w:t>経理部課長 高橋 美咲（E0012）</w:t>
            </w:r>
          </w:p>
        </w:tc>
      </w:tr>
    </w:tbl>
    <w:p/>
    <w:p>
      <w:r>
        <w:rPr>
          <w:rFonts w:ascii="Yu Gothic" w:hAnsi="Yu Gothic" w:eastAsia="Yu Gothic"/>
          <w:b/>
          <w:color w:val="2F5597"/>
          <w:sz w:val="26"/>
        </w:rPr>
        <w:t>1. 提出の概要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708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対象会社</w:t>
            </w:r>
          </w:p>
        </w:tc>
        <w:tc>
          <w:tcPr>
            <w:tcW w:type="dxa" w:w="708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DA-TB（デモA東北）、DA-LOG（デモA物流サービス）、DAT（Demo-A Thailand）、DATR（デモAトレーディング）</w:t>
            </w:r>
          </w:p>
        </w:tc>
      </w:tr>
      <w:tr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提出頻度</w:t>
            </w:r>
          </w:p>
        </w:tc>
        <w:tc>
          <w:tcPr>
            <w:tcW w:type="dxa" w:w="708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四半期ごと（6月末Q1、9月末Q2、12月末Q3、3月末Q4）</w:t>
            </w:r>
          </w:p>
        </w:tc>
      </w:tr>
      <w:tr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提出期限</w:t>
            </w:r>
          </w:p>
        </w:tc>
        <w:tc>
          <w:tcPr>
            <w:tcW w:type="dxa" w:w="708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決算日後5営業日（例：Q4は4月7日前後。詳細は決算スケジュール C-08 を参照）</w:t>
            </w:r>
          </w:p>
        </w:tc>
      </w:tr>
      <w:tr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提出方法</w:t>
            </w:r>
          </w:p>
        </w:tc>
        <w:tc>
          <w:tcPr>
            <w:tcW w:type="dxa" w:w="708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連結決算システム（S05）の「パッケージアップロード」画面からアップロード</w:t>
            </w:r>
          </w:p>
        </w:tc>
      </w:tr>
      <w:tr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金額単位</w:t>
            </w:r>
          </w:p>
        </w:tc>
        <w:tc>
          <w:tcPr>
            <w:tcW w:type="dxa" w:w="708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千円単位（DATはTHB千単位）。端数は四捨五入</w:t>
            </w:r>
          </w:p>
        </w:tc>
      </w:tr>
      <w:tr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承認</w:t>
            </w:r>
          </w:p>
        </w:tc>
        <w:tc>
          <w:tcPr>
            <w:tcW w:type="dxa" w:w="708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各子会社の経理責任者が作成し、代表者又は管理責任者が承認したうえで提出する</w:t>
            </w:r>
          </w:p>
        </w:tc>
      </w:tr>
    </w:tbl>
    <w:p/>
    <w:p>
      <w:r>
        <w:rPr>
          <w:rFonts w:ascii="Yu Gothic" w:hAnsi="Yu Gothic" w:eastAsia="Yu Gothic"/>
          <w:b/>
          <w:color w:val="2F5597"/>
          <w:sz w:val="26"/>
        </w:rPr>
        <w:t>2. シート構成と記入者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No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シート名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必須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主な用途（親会社側）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表紙</w:t>
            </w:r>
          </w:p>
        </w:tc>
        <w:tc>
          <w:tcPr>
            <w:tcW w:type="dxa" w:w="311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会社コード、対象期間、作成者、レビュー者、承認者</w:t>
            </w:r>
          </w:p>
        </w:tc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必須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提出管理・承認証跡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BS（貸借対照表）</w:t>
            </w:r>
          </w:p>
        </w:tc>
        <w:tc>
          <w:tcPr>
            <w:tcW w:type="dxa" w:w="311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前期末・当期末の科目別残高</w:t>
            </w:r>
          </w:p>
        </w:tc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必須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連結合算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PL（損益計算書）</w:t>
            </w:r>
          </w:p>
        </w:tc>
        <w:tc>
          <w:tcPr>
            <w:tcW w:type="dxa" w:w="311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当期の科目別金額</w:t>
            </w:r>
          </w:p>
        </w:tc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必須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連結合算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販管費内訳</w:t>
            </w:r>
          </w:p>
        </w:tc>
        <w:tc>
          <w:tcPr>
            <w:tcW w:type="dxa" w:w="311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販売費及び一般管理費の内訳</w:t>
            </w:r>
          </w:p>
        </w:tc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必須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注記（販管費内訳）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株主資本等変動計算書</w:t>
            </w:r>
          </w:p>
        </w:tc>
        <w:tc>
          <w:tcPr>
            <w:tcW w:type="dxa" w:w="311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純資産の増減</w:t>
            </w:r>
          </w:p>
        </w:tc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必須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連結SS作成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グループ債権債務明細</w:t>
            </w:r>
          </w:p>
        </w:tc>
        <w:tc>
          <w:tcPr>
            <w:tcW w:type="dxa" w:w="311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グループ各社に対する債権・債務の残高</w:t>
            </w:r>
          </w:p>
        </w:tc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必須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内部取引照合（F-25）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グループ取引高明細</w:t>
            </w:r>
          </w:p>
        </w:tc>
        <w:tc>
          <w:tcPr>
            <w:tcW w:type="dxa" w:w="311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グループ各社との売上・仕入等の取引高</w:t>
            </w:r>
          </w:p>
        </w:tc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必須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内部取引照合（F-25）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棚卸資産明細</w:t>
            </w:r>
          </w:p>
        </w:tc>
        <w:tc>
          <w:tcPr>
            <w:tcW w:type="dxa" w:w="311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期末棚卸資産のうちグループ間仕入分の区分</w:t>
            </w:r>
          </w:p>
        </w:tc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必須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未実現利益の算定（F-26）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9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固定資産増減表</w:t>
            </w:r>
          </w:p>
        </w:tc>
        <w:tc>
          <w:tcPr>
            <w:tcW w:type="dxa" w:w="311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取得・除却・減価償却の内訳</w:t>
            </w:r>
          </w:p>
        </w:tc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必須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注記（有形固定資産）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10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引当金明細</w:t>
            </w:r>
          </w:p>
        </w:tc>
        <w:tc>
          <w:tcPr>
            <w:tcW w:type="dxa" w:w="311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各引当金の期首・繰入・取崩・期末</w:t>
            </w:r>
          </w:p>
        </w:tc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必須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注記（引当金）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11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借入金・リース明細</w:t>
            </w:r>
          </w:p>
        </w:tc>
        <w:tc>
          <w:tcPr>
            <w:tcW w:type="dxa" w:w="311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借入金・リース債務の内訳と返済予定</w:t>
            </w:r>
          </w:p>
        </w:tc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必須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注記（有利子負債）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12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税金・税効果</w:t>
            </w:r>
          </w:p>
        </w:tc>
        <w:tc>
          <w:tcPr>
            <w:tcW w:type="dxa" w:w="311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法人税等、一時差異の内訳、繰延税金資産の回収可能性</w:t>
            </w:r>
          </w:p>
        </w:tc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必須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注記（税効果）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13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従業員数・その他</w:t>
            </w:r>
          </w:p>
        </w:tc>
        <w:tc>
          <w:tcPr>
            <w:tcW w:type="dxa" w:w="311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期末従業員数、セグメント情報の基礎データ</w:t>
            </w:r>
          </w:p>
        </w:tc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必須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注記（セグメント・従業員）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14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後発事象・特記事項</w:t>
            </w:r>
          </w:p>
        </w:tc>
        <w:tc>
          <w:tcPr>
            <w:tcW w:type="dxa" w:w="311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決算日後に生じた重要な事象、会計方針の相違等</w:t>
            </w:r>
          </w:p>
        </w:tc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必須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注記（後発事象）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15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CF作成用データ</w:t>
            </w:r>
          </w:p>
        </w:tc>
        <w:tc>
          <w:tcPr>
            <w:tcW w:type="dxa" w:w="311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非資金項目、投資・財務活動の内訳</w:t>
            </w:r>
          </w:p>
        </w:tc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必須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連結CF計算書の作成</w:t>
            </w:r>
          </w:p>
        </w:tc>
      </w:tr>
    </w:tbl>
    <w:p/>
    <w:p>
      <w:r>
        <w:rPr>
          <w:rFonts w:ascii="Yu Gothic" w:hAnsi="Yu Gothic" w:eastAsia="Yu Gothic"/>
          <w:b/>
          <w:color w:val="2F5597"/>
          <w:sz w:val="26"/>
        </w:rPr>
        <w:t>3. 記入上の共通ルール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金額は千円単位、税抜。マイナスは△で表示する（数式では負の値で入力）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セルの色分け：黄色＝入力必須、灰色＝自動計算（入力不可）、白＝任意入力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自動計算セルの数式を上書きしないこと。上書きするとバリデーションエラーとなる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科目は連結科目マスタ（6.consolidation/00_master/連結科目マスタ_科目マッピング.xlsx）の科目コードに対応させる。自社の勘定科目との対応表を初回提出時に親会社へ提出すること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前期末残高は前回提出したパッケージの数値を用いる。前期数値を修正する必要がある場合は、修正理由を「後発事象・特記事項」シートに記載し、事前に親会社経理部へ連絡すること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空欄にせず、該当がない場合は「0」又は「該当なし」と記入すること</w:t>
      </w:r>
    </w:p>
    <w:p>
      <w:r>
        <w:rPr>
          <w:rFonts w:ascii="Yu Gothic" w:hAnsi="Yu Gothic" w:eastAsia="Yu Gothic"/>
          <w:b/>
          <w:color w:val="2F5597"/>
          <w:sz w:val="26"/>
        </w:rPr>
        <w:t>4. 重点シートの記入方法</w:t>
      </w:r>
    </w:p>
    <w:p>
      <w:r>
        <w:rPr>
          <w:rFonts w:ascii="Yu Gothic" w:hAnsi="Yu Gothic" w:eastAsia="Yu Gothic"/>
          <w:b/>
          <w:color w:val="1F3864"/>
          <w:sz w:val="22"/>
        </w:rPr>
        <w:t>4-1. グループ債権債務明細（シート6）／グループ取引高明細（シート7）</w:t>
      </w:r>
    </w:p>
    <w:p>
      <w:r>
        <w:rPr>
          <w:rFonts w:ascii="Yu Gothic" w:hAnsi="Yu Gothic" w:eastAsia="Yu Gothic"/>
          <w:b w:val="0"/>
          <w:sz w:val="20"/>
        </w:rPr>
        <w:t>内部取引照合（F-25）の基礎となる最重要シートである。相手先ごとに残高・取引高を記入する。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記入項目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記入方法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注意点</w:t>
            </w:r>
          </w:p>
        </w:tc>
      </w:tr>
      <w:tr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相手会社コード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DA-HQ／DA-TB／DA-LOG／DAT／DATR から選択</w:t>
            </w:r>
          </w:p>
        </w:tc>
        <w:tc>
          <w:tcPr>
            <w:tcW w:type="dxa" w:w="368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会社コードの誤りが照合差異の主因</w:t>
            </w:r>
          </w:p>
        </w:tc>
      </w:tr>
      <w:tr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科目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売掛金、買掛金、未収入金、未払金、貸付金、借入金 等</w:t>
            </w:r>
          </w:p>
        </w:tc>
        <w:tc>
          <w:tcPr>
            <w:tcW w:type="dxa" w:w="368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相手側の科目と対になるよう確認する</w:t>
            </w:r>
          </w:p>
        </w:tc>
      </w:tr>
      <w:tr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残高／取引高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自社帳簿の残高・取引高をそのまま記入</w:t>
            </w:r>
          </w:p>
        </w:tc>
        <w:tc>
          <w:tcPr>
            <w:tcW w:type="dxa" w:w="368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相手側に合わせて調整しないこと</w:t>
            </w:r>
          </w:p>
        </w:tc>
      </w:tr>
      <w:tr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未達取引の有無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決算日をまたぐ出荷・検収がある場合、その金額を記入</w:t>
            </w:r>
          </w:p>
        </w:tc>
        <w:tc>
          <w:tcPr>
            <w:tcW w:type="dxa" w:w="368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期ズレ差異の原因特定に必要</w:t>
            </w:r>
          </w:p>
        </w:tc>
      </w:tr>
      <w:tr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適用為替レート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外貨建取引の場合、適用したレートを記入</w:t>
            </w:r>
          </w:p>
        </w:tc>
        <w:tc>
          <w:tcPr>
            <w:tcW w:type="dxa" w:w="368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DATとの取引で必須</w:t>
            </w:r>
          </w:p>
        </w:tc>
      </w:tr>
    </w:tbl>
    <w:p/>
    <w:p>
      <w:r>
        <w:rPr>
          <w:rFonts w:ascii="Yu Gothic" w:hAnsi="Yu Gothic" w:eastAsia="Yu Gothic"/>
          <w:b w:val="0"/>
          <w:color w:val="595959"/>
          <w:sz w:val="17"/>
        </w:rPr>
        <w:t>※ 照合差異の許容基準は1件あたり100千円未満。これを超える差異が生じた場合、親会社経理部から照会があるため、決算日後7営業日までに回答できるよう資料を準備すること。</w:t>
      </w:r>
    </w:p>
    <w:p>
      <w:r>
        <w:rPr>
          <w:rFonts w:ascii="Yu Gothic" w:hAnsi="Yu Gothic" w:eastAsia="Yu Gothic"/>
          <w:b/>
          <w:color w:val="1F3864"/>
          <w:sz w:val="22"/>
        </w:rPr>
        <w:t>4-2. 棚卸資産明細（シート8）</w:t>
      </w:r>
    </w:p>
    <w:p>
      <w:r>
        <w:rPr>
          <w:rFonts w:ascii="Yu Gothic" w:hAnsi="Yu Gothic" w:eastAsia="Yu Gothic"/>
          <w:b w:val="0"/>
          <w:sz w:val="20"/>
        </w:rPr>
        <w:t>未実現利益の算定（F-26）に用いる。期末棚卸資産のうち、グループ会社から仕入れた分を区分して記入する。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記入項目</w:t>
            </w:r>
          </w:p>
        </w:tc>
        <w:tc>
          <w:tcPr>
            <w:tcW w:type="dxa" w:w="6520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記入方法</w:t>
            </w:r>
          </w:p>
        </w:tc>
      </w:tr>
      <w:tr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区分</w:t>
            </w:r>
          </w:p>
        </w:tc>
        <w:tc>
          <w:tcPr>
            <w:tcW w:type="dxa" w:w="652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原材料／仕掛品／製品／貯蔵品</w:t>
            </w:r>
          </w:p>
        </w:tc>
      </w:tr>
      <w:tr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総額</w:t>
            </w:r>
          </w:p>
        </w:tc>
        <w:tc>
          <w:tcPr>
            <w:tcW w:type="dxa" w:w="652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期末棚卸資産の総額</w:t>
            </w:r>
          </w:p>
        </w:tc>
      </w:tr>
      <w:tr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うちグループ間仕入分</w:t>
            </w:r>
          </w:p>
        </w:tc>
        <w:tc>
          <w:tcPr>
            <w:tcW w:type="dxa" w:w="652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グループ会社から仕入れた在庫の期末残高（取得原価ベース）</w:t>
            </w:r>
          </w:p>
        </w:tc>
      </w:tr>
      <w:tr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仕入元会社コード</w:t>
            </w:r>
          </w:p>
        </w:tc>
        <w:tc>
          <w:tcPr>
            <w:tcW w:type="dxa" w:w="652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グループ間仕入分の仕入元（複数ある場合は行を分ける）</w:t>
            </w:r>
          </w:p>
        </w:tc>
      </w:tr>
      <w:tr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品目別内訳</w:t>
            </w:r>
          </w:p>
        </w:tc>
        <w:tc>
          <w:tcPr>
            <w:tcW w:type="dxa" w:w="652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可能な限り品目別に記入（DA-TBは必須）。未実現利益率の精度が向上する</w:t>
            </w:r>
          </w:p>
        </w:tc>
      </w:tr>
    </w:tbl>
    <w:p/>
    <w:p>
      <w:r>
        <w:rPr>
          <w:rFonts w:ascii="Yu Gothic" w:hAnsi="Yu Gothic" w:eastAsia="Yu Gothic"/>
          <w:b/>
          <w:color w:val="1F3864"/>
          <w:sz w:val="22"/>
        </w:rPr>
        <w:t>4-3. 後発事象・特記事項（シート14）</w:t>
      </w:r>
    </w:p>
    <w:p>
      <w:r>
        <w:rPr>
          <w:rFonts w:ascii="Yu Gothic" w:hAnsi="Yu Gothic" w:eastAsia="Yu Gothic"/>
          <w:b w:val="0"/>
          <w:sz w:val="20"/>
        </w:rPr>
        <w:t>次の事項がある場合は必ず記入する。「該当なし」の場合もその旨を明記する。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決算日後に生じた、財務諸表に重要な影響を及ぼす事象（修正後発事象・開示後発事象）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グループ統一会計方針書（C-06）と異なる会計処理を行っている場合、その内容と理由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当期に生じた会計処理の変更、見積りの変更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訴訟、偶発債務、債務保証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重要な契約の締結・解除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暫定値で提出している項目がある場合、その内容と確定見込み時期</w:t>
      </w:r>
    </w:p>
    <w:p>
      <w:r>
        <w:rPr>
          <w:rFonts w:ascii="Yu Gothic" w:hAnsi="Yu Gothic" w:eastAsia="Yu Gothic"/>
          <w:b/>
          <w:color w:val="2F5597"/>
          <w:sz w:val="26"/>
        </w:rPr>
        <w:t>5. バリデーションと再提出</w:t>
      </w:r>
    </w:p>
    <w:p>
      <w:r>
        <w:rPr>
          <w:rFonts w:ascii="Yu Gothic" w:hAnsi="Yu Gothic" w:eastAsia="Yu Gothic"/>
          <w:b w:val="0"/>
          <w:sz w:val="20"/>
        </w:rPr>
        <w:t>アップロード時にS05が自動でバリデーションを実行する。主なチェック項目は次のとおり。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バリデーション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エラー時の対応</w:t>
            </w:r>
          </w:p>
        </w:tc>
      </w:tr>
      <w:tr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貸借一致</w:t>
            </w:r>
          </w:p>
        </w:tc>
        <w:tc>
          <w:tcPr>
            <w:tcW w:type="dxa" w:w="3969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BSの資産合計＝負債純資産合計</w:t>
            </w:r>
          </w:p>
        </w:tc>
        <w:tc>
          <w:tcPr>
            <w:tcW w:type="dxa" w:w="311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入力誤りを修正のうえ再アップロード</w:t>
            </w:r>
          </w:p>
        </w:tc>
      </w:tr>
      <w:tr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PL整合</w:t>
            </w:r>
          </w:p>
        </w:tc>
        <w:tc>
          <w:tcPr>
            <w:tcW w:type="dxa" w:w="3969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PLの各段階利益が正しく計算されているか</w:t>
            </w:r>
          </w:p>
        </w:tc>
        <w:tc>
          <w:tcPr>
            <w:tcW w:type="dxa" w:w="311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同上</w:t>
            </w:r>
          </w:p>
        </w:tc>
      </w:tr>
      <w:tr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前期繰越一致</w:t>
            </w:r>
          </w:p>
        </w:tc>
        <w:tc>
          <w:tcPr>
            <w:tcW w:type="dxa" w:w="3969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前期末残高が前回提出値と一致しているか</w:t>
            </w:r>
          </w:p>
        </w:tc>
        <w:tc>
          <w:tcPr>
            <w:tcW w:type="dxa" w:w="311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相違する場合は理由をシート14に記載のうえ親会社へ連絡</w:t>
            </w:r>
          </w:p>
        </w:tc>
      </w:tr>
      <w:tr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SS整合</w:t>
            </w:r>
          </w:p>
        </w:tc>
        <w:tc>
          <w:tcPr>
            <w:tcW w:type="dxa" w:w="3969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株主資本等変動計算書の期末残高がBSと一致しているか</w:t>
            </w:r>
          </w:p>
        </w:tc>
        <w:tc>
          <w:tcPr>
            <w:tcW w:type="dxa" w:w="311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同上</w:t>
            </w:r>
          </w:p>
        </w:tc>
      </w:tr>
      <w:tr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内部取引の申告</w:t>
            </w:r>
          </w:p>
        </w:tc>
        <w:tc>
          <w:tcPr>
            <w:tcW w:type="dxa" w:w="3969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グループ債権債務・取引高が申告されているか（0の場合も明示的に0と記入）</w:t>
            </w:r>
          </w:p>
        </w:tc>
        <w:tc>
          <w:tcPr>
            <w:tcW w:type="dxa" w:w="311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未記入セルを埋める</w:t>
            </w:r>
          </w:p>
        </w:tc>
      </w:tr>
      <w:tr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必須項目の充足</w:t>
            </w:r>
          </w:p>
        </w:tc>
        <w:tc>
          <w:tcPr>
            <w:tcW w:type="dxa" w:w="3969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必須シート・必須セルがすべて記入されているか</w:t>
            </w:r>
          </w:p>
        </w:tc>
        <w:tc>
          <w:tcPr>
            <w:tcW w:type="dxa" w:w="311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未記入箇所を埋める</w:t>
            </w:r>
          </w:p>
        </w:tc>
      </w:tr>
    </w:tbl>
    <w:p/>
    <w:p>
      <w:r>
        <w:rPr>
          <w:rFonts w:ascii="Yu Gothic" w:hAnsi="Yu Gothic" w:eastAsia="Yu Gothic"/>
          <w:b w:val="0"/>
          <w:sz w:val="20"/>
        </w:rPr>
        <w:t>エラーがすべて解消するまで再アップロードすること。決算日後7営業日までにエラーが解消しない場合、親会社経理部から督促があり、経理部長・取締役CFOへ報告される（エスカレーション基準 E-23 No.9）。</w:t>
      </w:r>
    </w:p>
    <w:p>
      <w:r>
        <w:rPr>
          <w:rFonts w:ascii="Yu Gothic" w:hAnsi="Yu Gothic" w:eastAsia="Yu Gothic"/>
          <w:b/>
          <w:color w:val="2F5597"/>
          <w:sz w:val="26"/>
        </w:rPr>
        <w:t>6. よくある誤りと防止策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誤り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影響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防止策</w:t>
            </w:r>
          </w:p>
        </w:tc>
      </w:tr>
      <w:tr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相手会社コードの誤り</w:t>
            </w:r>
          </w:p>
        </w:tc>
        <w:tc>
          <w:tcPr>
            <w:tcW w:type="dxa" w:w="311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内部取引が照合できず差異となる</w:t>
            </w:r>
          </w:p>
        </w:tc>
        <w:tc>
          <w:tcPr>
            <w:tcW w:type="dxa" w:w="368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提出前に相手先別残高の合計が自社の対グループ債権債務残高と一致することを確認する</w:t>
            </w:r>
          </w:p>
        </w:tc>
      </w:tr>
      <w:tr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自動計算セルの上書き</w:t>
            </w:r>
          </w:p>
        </w:tc>
        <w:tc>
          <w:tcPr>
            <w:tcW w:type="dxa" w:w="311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貸借不一致・整合性エラー</w:t>
            </w:r>
          </w:p>
        </w:tc>
        <w:tc>
          <w:tcPr>
            <w:tcW w:type="dxa" w:w="368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灰色セルには入力しない</w:t>
            </w:r>
          </w:p>
        </w:tc>
      </w:tr>
      <w:tr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前期数値の無断修正</w:t>
            </w:r>
          </w:p>
        </w:tc>
        <w:tc>
          <w:tcPr>
            <w:tcW w:type="dxa" w:w="311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前期繰越不一致</w:t>
            </w:r>
          </w:p>
        </w:tc>
        <w:tc>
          <w:tcPr>
            <w:tcW w:type="dxa" w:w="368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前期数値の修正は事前に親会社経理部へ連絡する</w:t>
            </w:r>
          </w:p>
        </w:tc>
      </w:tr>
      <w:tr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グループ間仕入分の未記入</w:t>
            </w:r>
          </w:p>
        </w:tc>
        <w:tc>
          <w:tcPr>
            <w:tcW w:type="dxa" w:w="311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未実現利益の消去漏れ（連結利益の過大計上）</w:t>
            </w:r>
          </w:p>
        </w:tc>
        <w:tc>
          <w:tcPr>
            <w:tcW w:type="dxa" w:w="368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該当がない場合も0と明記する</w:t>
            </w:r>
          </w:p>
        </w:tc>
      </w:tr>
      <w:tr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為替レートの記入漏れ（DAT）</w:t>
            </w:r>
          </w:p>
        </w:tc>
        <w:tc>
          <w:tcPr>
            <w:tcW w:type="dxa" w:w="311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換算誤り・照合差異</w:t>
            </w:r>
          </w:p>
        </w:tc>
        <w:tc>
          <w:tcPr>
            <w:tcW w:type="dxa" w:w="368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外貨建取引がある行は必ずレートを記入する</w:t>
            </w:r>
          </w:p>
        </w:tc>
      </w:tr>
      <w:tr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暫定値での提出（連絡なし）</w:t>
            </w:r>
          </w:p>
        </w:tc>
        <w:tc>
          <w:tcPr>
            <w:tcW w:type="dxa" w:w="311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確定値との差額が後日判明し、連結修正が必要になる</w:t>
            </w:r>
          </w:p>
        </w:tc>
        <w:tc>
          <w:tcPr>
            <w:tcW w:type="dxa" w:w="368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暫定値の場合は必ずシート14に明記する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