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1F3864"/>
          <w:sz w:val="32"/>
        </w:rPr>
        <w:t>連結決算手順書</w:t>
      </w:r>
    </w:p>
    <w:p>
      <w:pPr>
        <w:jc w:val="center"/>
      </w:pPr>
      <w:r>
        <w:rPr>
          <w:rFonts w:ascii="Yu Gothic" w:hAnsi="Yu Gothic" w:eastAsia="Yu Gothic"/>
          <w:b w:val="0"/>
          <w:color w:val="595959"/>
          <w:sz w:val="18"/>
        </w:rPr>
        <w:t>文書番号：F-23　／　デモA株式会社　／　版数 v2.1　／　2025年4月1日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文書番号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F-23</w:t>
            </w:r>
          </w:p>
        </w:tc>
      </w:tr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主管部門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経理部 財務会計課</w:t>
            </w:r>
          </w:p>
        </w:tc>
      </w:tr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経理部長 佐藤 一郎（E0011）</w:t>
            </w:r>
          </w:p>
        </w:tc>
      </w:tr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上位文書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連結決算規程（R28）、連結決算マニュアル（C-05）</w:t>
            </w:r>
          </w:p>
        </w:tc>
      </w:tr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使用システム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連結決算システム（S05）、SAP S/4HANA（S01）</w:t>
            </w:r>
          </w:p>
        </w:tc>
      </w:tr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関連統制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FCRP-002/004</w:t>
            </w:r>
          </w:p>
        </w:tc>
      </w:tr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★注記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決算業務規程（R17 v3.0）第4章はExcel集計を前提とした2019年版のままである。連結決算の実務は本手順書及びR28を正とする</w:t>
            </w:r>
          </w:p>
        </w:tc>
      </w:tr>
    </w:tbl>
    <w:p/>
    <w:p>
      <w:r>
        <w:rPr>
          <w:rFonts w:ascii="Yu Gothic" w:hAnsi="Yu Gothic" w:eastAsia="Yu Gothic"/>
          <w:b/>
          <w:color w:val="2F5597"/>
          <w:sz w:val="26"/>
        </w:rPr>
        <w:t>1. 全体の流れと本手順書の構成</w:t>
      </w:r>
    </w:p>
    <w:p>
      <w:r>
        <w:rPr>
          <w:rFonts w:ascii="Yu Gothic" w:hAnsi="Yu Gothic" w:eastAsia="Yu Gothic"/>
          <w:b w:val="0"/>
          <w:sz w:val="20"/>
        </w:rPr>
        <w:t>連結決算は次の8工程で構成される。各工程の詳細は第2章以降及び個別の要領（F-24〜F-30）による。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工程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作業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担当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期限（決算日後）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個別要領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① 準備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連結パッケージの配付、為替レートの登録、連結の範囲の確認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経理部担当 石井 健（E0016）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10営業日前</w:t>
            </w:r>
          </w:p>
        </w:tc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C-07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② 回収・検証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パッケージの受領、バリデーション、エラーの解消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経理部課長 高橋 美咲（E0012）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5〜7営業日</w:t>
            </w:r>
          </w:p>
        </w:tc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F-24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③ 単体連携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当社試算表のS05への連携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経理部課長 高橋 美咲（E0012）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6営業日</w:t>
            </w:r>
          </w:p>
        </w:tc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F-02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④ 内部取引照合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グループ間の債権債務・取引高の照合と差異解消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経理部担当 石井 健（E0016）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8営業日</w:t>
            </w:r>
          </w:p>
        </w:tc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F-25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⑤ 未実現利益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期末棚卸資産に含まれる未実現利益の算定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経理部主任 中村 真理（E0014）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9営業日</w:t>
            </w:r>
          </w:p>
        </w:tc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F-26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⑥ 換算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在外子会社（DAT）の財務諸表の換算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経理部主任 中村 真理（E0014）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9営業日</w:t>
            </w:r>
          </w:p>
        </w:tc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F-27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⑦ 連結仕訳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資本連結・消去仕訳の起票・レビュー・承認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経理部課長 高橋 美咲（E0012）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10〜11営業日</w:t>
            </w:r>
          </w:p>
        </w:tc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F-28、F-29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⑧ 精算表・F/S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連結精算表の出力・整合確認、連結財務諸表の作成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経理部課長 高橋 美咲（E0012）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12〜15営業日</w:t>
            </w:r>
          </w:p>
        </w:tc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F-30</w:t>
            </w:r>
          </w:p>
        </w:tc>
      </w:tr>
    </w:tbl>
    <w:p/>
    <w:p>
      <w:r>
        <w:rPr>
          <w:rFonts w:ascii="Yu Gothic" w:hAnsi="Yu Gothic" w:eastAsia="Yu Gothic"/>
          <w:b/>
          <w:color w:val="2F5597"/>
          <w:sz w:val="26"/>
        </w:rPr>
        <w:t>2. 工程①：準備（決算日10営業日前）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No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作業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確認事項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1-1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連結の範囲の確認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持分の異動、新規設立・取得・売却の有無を確認する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異動がある場合は取締役CFOの承認を得る（R28 第4条）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1-2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連結パッケージの配付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各子会社へ様式（C-07）と提出期限を通知する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様式を改訂した場合は変更点を明示する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1-3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為替レートの登録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CR（決算日レート）、AR（期中平均レート）をS05へ登録する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レートの出所（日銀公表仲値等）を記録。経理部長の承認を得る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1-4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S05のマスタ確認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会社マスタ、科目マスタ、連結仕訳の設定を確認する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前期から変更がある場合、変更の承認証跡（ITGC-CM）を確認する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1-5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注記事項収集シートの配付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各社・各部門へ配付する（C-15）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回答期限を明示する</w:t>
            </w:r>
          </w:p>
        </w:tc>
      </w:tr>
    </w:tbl>
    <w:p/>
    <w:p>
      <w:r>
        <w:rPr>
          <w:rFonts w:ascii="Yu Gothic" w:hAnsi="Yu Gothic" w:eastAsia="Yu Gothic"/>
          <w:b/>
          <w:color w:val="2F5597"/>
          <w:sz w:val="26"/>
        </w:rPr>
        <w:t>3. 工程③：単体試算表の連携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No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作業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確認事項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3-1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単体決算の確定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当社の単体決算を確定させる（F-01の工程90完了）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経理部長の承認済であること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3-2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試算表の抽出・連携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SAP（ZFI_TB_EXPORT）によりS05へ連携する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貸借差異が0であること（月次決算CL No.44）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3-3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取込結果の確認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S05側で取込件数・金額を確認する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SAPの試算表合計とS05の取込値が一致すること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3-4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科目マッピングの確認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SAP勘定科目と連結科目の対応を確認する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未マッピングの科目がないこと。ある場合は連結科目マスタを更新（経理部長の承認）</w:t>
            </w:r>
          </w:p>
        </w:tc>
      </w:tr>
    </w:tbl>
    <w:p/>
    <w:p>
      <w:r>
        <w:rPr>
          <w:rFonts w:ascii="Yu Gothic" w:hAnsi="Yu Gothic" w:eastAsia="Yu Gothic"/>
          <w:b/>
          <w:color w:val="2F5597"/>
          <w:sz w:val="26"/>
        </w:rPr>
        <w:t>4. 工程⑦：連結仕訳の起票</w:t>
      </w:r>
    </w:p>
    <w:p>
      <w:r>
        <w:rPr>
          <w:rFonts w:ascii="Yu Gothic" w:hAnsi="Yu Gothic" w:eastAsia="Yu Gothic"/>
          <w:b w:val="0"/>
          <w:sz w:val="20"/>
        </w:rPr>
        <w:t>連結仕訳の区分・起票方法・承認要件はF-29（連結仕訳 種類別定義書）による。自動起票分と手動起票分でレビューの観点が異なる。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区分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起票方法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レビューの観点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承認</w:t>
            </w:r>
          </w:p>
        </w:tc>
      </w:tr>
      <w:tr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資本連結（投資と資本の相殺、のれん、NCI）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S05の自動起票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設定内容が前期から変更されていないか。のれん償却額が償却スケジュールと一致するか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経理部長</w:t>
            </w:r>
          </w:p>
        </w:tc>
      </w:tr>
      <w:tr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債権債務の相殺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S05の自動起票（照合結果に基づく）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消去後のグループ間債権債務残高が0になっているか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経理部長</w:t>
            </w:r>
          </w:p>
        </w:tc>
      </w:tr>
      <w:tr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取引高の相殺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S05の自動起票（照合結果に基づく）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同上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経理部長</w:t>
            </w:r>
          </w:p>
        </w:tc>
      </w:tr>
      <w:tr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未実現利益の消去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手動起票（F-26の計算シートに基づく）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利益率の算定方法が前期と同一か。NCIへの按分が正しいか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経理部長</w:t>
            </w:r>
          </w:p>
        </w:tc>
      </w:tr>
      <w:tr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在外子会社の換算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S05の自動換算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適用レートが登録値と一致するか。CTAの増減が換算ワークシートと一致するか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経理部長</w:t>
            </w:r>
          </w:p>
        </w:tc>
      </w:tr>
      <w:tr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非定型の連結修正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手動起票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会計処理の根拠。検討メモが作成されているか。前期に同種の処理があるか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経理部長（10,000千円超は取締役CFO）</w:t>
            </w:r>
          </w:p>
        </w:tc>
      </w:tr>
    </w:tbl>
    <w:p/>
    <w:p>
      <w:r>
        <w:rPr>
          <w:rFonts w:ascii="Yu Gothic" w:hAnsi="Yu Gothic" w:eastAsia="Yu Gothic"/>
          <w:b/>
          <w:color w:val="2F5597"/>
          <w:sz w:val="26"/>
        </w:rPr>
        <w:t>5. 工程⑧：連結精算表と連結財務諸表</w:t>
      </w:r>
    </w:p>
    <w:p>
      <w:r>
        <w:rPr>
          <w:rFonts w:ascii="Yu Gothic" w:hAnsi="Yu Gothic" w:eastAsia="Yu Gothic"/>
          <w:b w:val="0"/>
          <w:sz w:val="20"/>
        </w:rPr>
        <w:t>連結精算表を出力し、次の8点を確認する（連結決算マニュアル C-05 第4章）。1点でも不整合がある場合は、原因を特定して解消するまで次の工程へ進まない。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No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確認内容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確認方法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不整合時の対応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個別財務諸表の合算値が各社の提出値と一致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S05の合算欄と各社パッケージを突合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取込エラー又は科目マッピングの誤りを確認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連結修正仕訳の借方合計＝貸方合計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連結仕訳帳の合計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起票誤りを修正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消去後のグループ間債権債務残高が0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連結精算表の該当科目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照合差異の未解消分を確認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NCI残高＝持分比率×子会社純資産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F-28の計算シートと突合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資本連結の設定を確認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のれん償却額が償却スケジュールと一致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償却スケジュール表と突合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設定を確認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CTAの増減が換算ワークシートと一致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F-27のワークシートと突合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レートの設定を確認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7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連結財務諸表の各数値が連結精算表と一致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機械的に突合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転記誤りを修正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8</w:t>
            </w:r>
          </w:p>
        </w:tc>
        <w:tc>
          <w:tcPr>
            <w:tcW w:type="dxa" w:w="311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前期比較が可能な形式になっている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前期の連結財務諸表と科目を突合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組替が必要な場合は組替表を作成し注記する</w:t>
            </w:r>
          </w:p>
        </w:tc>
      </w:tr>
    </w:tbl>
    <w:p/>
    <w:p>
      <w:r>
        <w:rPr>
          <w:rFonts w:ascii="Yu Gothic" w:hAnsi="Yu Gothic" w:eastAsia="Yu Gothic"/>
          <w:b/>
          <w:color w:val="2F5597"/>
          <w:sz w:val="26"/>
        </w:rPr>
        <w:t>6. 例外・イレギュラー対応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状況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対応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報告</w:t>
            </w:r>
          </w:p>
        </w:tc>
      </w:tr>
      <w:tr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子会社のパッケージ提出が期限に間に合わない</w:t>
            </w:r>
          </w:p>
        </w:tc>
        <w:tc>
          <w:tcPr>
            <w:tcW w:type="dxa" w:w="45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暫定値での提出を認め、確定値との差額を後日修正する。暫定値である旨をパッケージのシート14に明記させる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期限超過後1営業日以内に経理部長→取締役CFO（E-23 No.9）</w:t>
            </w:r>
          </w:p>
        </w:tc>
      </w:tr>
      <w:tr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バリデーションエラーが決算日後7営業日までに解消しない</w:t>
            </w:r>
          </w:p>
        </w:tc>
        <w:tc>
          <w:tcPr>
            <w:tcW w:type="dxa" w:w="45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エラーの内容と影響を評価し、重要でない場合は当社側で修正仕訳を起票する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経理部長</w:t>
            </w:r>
          </w:p>
        </w:tc>
      </w:tr>
      <w:tr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内部取引の差異が解消しない</w:t>
            </w:r>
          </w:p>
        </w:tc>
        <w:tc>
          <w:tcPr>
            <w:tcW w:type="dxa" w:w="45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原因が特定できている場合は調整責任のある側の数値に合わせる。原因不明の差異は「内部取引差異調整」として計上し、翌四半期に持ち越して調査する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経理部長（1,000千円超は取締役CFO）</w:t>
            </w:r>
          </w:p>
        </w:tc>
      </w:tr>
      <w:tr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子会社の会計方針が当社と異なることが判明</w:t>
            </w:r>
          </w:p>
        </w:tc>
        <w:tc>
          <w:tcPr>
            <w:tcW w:type="dxa" w:w="45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連結上、当社の会計方針に修正する仕訳を起票する。恒久的な相違である場合は子会社に会計方針の変更を求める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経理部長</w:t>
            </w:r>
          </w:p>
        </w:tc>
      </w:tr>
      <w:tr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S05に障害が発生した</w:t>
            </w:r>
          </w:p>
        </w:tc>
        <w:tc>
          <w:tcPr>
            <w:tcW w:type="dxa" w:w="45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ベンダーへ連絡し復旧を待つ。復旧見込みが立たない場合はExcelによる暫定集計を検討する（この場合は統制の代替手続を文書化する）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情報システム部長→取締役CFO</w:t>
            </w:r>
          </w:p>
        </w:tc>
      </w:tr>
      <w:tr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連結の範囲に変更があった</w:t>
            </w:r>
          </w:p>
        </w:tc>
        <w:tc>
          <w:tcPr>
            <w:tcW w:type="dxa" w:w="45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取得・売却の日付、みなし取得日、取得原価の配分（PPA）を検討する。会計監査人と事前に協議する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経理部長→取締役CFO→取締役会</w:t>
            </w:r>
          </w:p>
        </w:tc>
      </w:tr>
    </w:tbl>
    <w:p/>
    <w:p>
      <w:r>
        <w:rPr>
          <w:rFonts w:ascii="Yu Gothic" w:hAnsi="Yu Gothic" w:eastAsia="Yu Gothic"/>
          <w:b/>
          <w:color w:val="2F5597"/>
          <w:sz w:val="26"/>
        </w:rPr>
        <w:t>7. 年度決算の追加手続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連結キャッシュ・フロー計算書の作成（パッケージのシート15「CF作成用データ」を使用）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連結株主資本等変動計算書の作成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連結包括利益計算書の作成（為替換算調整勘定の当期発生額を反映）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セグメント情報の作成（管理会計の区分との整合を確認）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注記情報の集約（C-15）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のれんの減損の兆候の判定（F-16。DATRを含むより大きな単位で判定）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