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1F3864"/>
          <w:sz w:val="32"/>
        </w:rPr>
        <w:t>月次決算手順書</w:t>
      </w:r>
    </w:p>
    <w:p>
      <w:pPr>
        <w:jc w:val="center"/>
      </w:pPr>
      <w:r>
        <w:rPr>
          <w:rFonts w:ascii="Yu Gothic" w:hAnsi="Yu Gothic" w:eastAsia="Yu Gothic"/>
          <w:b w:val="0"/>
          <w:color w:val="595959"/>
          <w:sz w:val="18"/>
        </w:rPr>
        <w:t>文書番号：F-01　／　デモA株式会社　／　版数 v3.0　／　2025年4月1日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文書番号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F-01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主管部門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経理部 財務会計課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経理部長 佐藤 一郎（E0011）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上位規程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経理規程（R16）第16条、決算業務規程（R17）第2章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★注記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決算業務規程（R17 v3.0）は2019年改訂版であり、連結決算システム（S05）導入後の実態を反映していない。月次決算の実務は本手順書を正とする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関連統制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FCRP-001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関連文書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C-08 決算スケジュール、C-12 チェックリスト定義書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1. 本手順書の位置づけと目的</w:t>
      </w:r>
    </w:p>
    <w:p>
      <w:r>
        <w:rPr>
          <w:rFonts w:ascii="Yu Gothic" w:hAnsi="Yu Gothic" w:eastAsia="Yu Gothic"/>
          <w:b w:val="0"/>
          <w:sz w:val="20"/>
        </w:rPr>
        <w:t>本手順書は、月次決算の作業手順を工程順に定める。月次決算の目的は、月次の経営成績及び財政状態を適時・正確に把握し、経営管理及び四半期・年度決算の基礎とすることにある。</w:t>
      </w:r>
    </w:p>
    <w:p>
      <w:r>
        <w:rPr>
          <w:rFonts w:ascii="Yu Gothic" w:hAnsi="Yu Gothic" w:eastAsia="Yu Gothic"/>
          <w:b w:val="0"/>
          <w:sz w:val="20"/>
        </w:rPr>
        <w:t>期限（翌月第7営業日の経理部長承認）を守ることと、各工程の判定基準を満たすことの双方が求められる。期限を優先して手続を省略してはならない。期限に間に合わない見込みとなった場合は、エスカレーション基準（E-23 No.8）により報告する。</w:t>
      </w:r>
    </w:p>
    <w:p>
      <w:r>
        <w:rPr>
          <w:rFonts w:ascii="Yu Gothic" w:hAnsi="Yu Gothic" w:eastAsia="Yu Gothic"/>
          <w:b/>
          <w:color w:val="2F5597"/>
          <w:sz w:val="26"/>
        </w:rPr>
        <w:t>2. 前提条件（着手前に確認すること）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No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確認事項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確認方法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満たされない場合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前月の決算が経理部長により承認済であること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稟議WF（S04）の承認履歴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前月の未承認事項を解消してから着手する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各部門からの実績データが提出されていること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受領一覧（翌1営業日時点）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未提出部門へ督促する。翌2営業日までに入手できない場合は経理部課長へ報告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SAPの前月期間がクローズされていること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SAP OB52の設定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情報システム部へ確認する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為替レートマスタが当月分更新されていること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SAPの為替レート照会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経理部主任が更新し、経理部課長の承認を得る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3. 工程</w:t>
      </w:r>
    </w:p>
    <w:p>
      <w:r>
        <w:rPr>
          <w:rFonts w:ascii="Yu Gothic" w:hAnsi="Yu Gothic" w:eastAsia="Yu Gothic"/>
          <w:b/>
          <w:color w:val="1F3864"/>
          <w:sz w:val="22"/>
        </w:rPr>
        <w:t>工程10：売上のカットオフ確認（当月末）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708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担当</w:t>
            </w:r>
          </w:p>
        </w:tc>
        <w:tc>
          <w:tcPr>
            <w:tcW w:type="dxa" w:w="70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 高橋 美咲（E0012）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作業</w:t>
            </w:r>
          </w:p>
        </w:tc>
        <w:tc>
          <w:tcPr>
            <w:tcW w:type="dxa" w:w="70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月末5営業日の売上伝票を抽出し、出荷実績（WMS）と売上計上日（SAP）を突合する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使用システム</w:t>
            </w:r>
          </w:p>
        </w:tc>
        <w:tc>
          <w:tcPr>
            <w:tcW w:type="dxa" w:w="70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SAP SD（VF05）、WMS（S02）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判定基準</w:t>
            </w:r>
          </w:p>
        </w:tc>
        <w:tc>
          <w:tcPr>
            <w:tcW w:type="dxa" w:w="70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出荷日と売上計上日が同一会計期間であること。相違があれば全件調査する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アウトプット</w:t>
            </w:r>
          </w:p>
        </w:tc>
        <w:tc>
          <w:tcPr>
            <w:tcW w:type="dxa" w:w="70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カットオフ突合表（月次決算CL No.1の証跡）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例外時の対応</w:t>
            </w:r>
          </w:p>
        </w:tc>
        <w:tc>
          <w:tcPr>
            <w:tcW w:type="dxa" w:w="70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相違が発見された場合、営業本部に事実関係を確認のうえ、必要な修正仕訳を起票する。金額が7,000千円を超える場合は経理部長へ報告</w:t>
            </w:r>
          </w:p>
        </w:tc>
      </w:tr>
    </w:tbl>
    <w:p/>
    <w:p>
      <w:r>
        <w:rPr>
          <w:rFonts w:ascii="Yu Gothic" w:hAnsi="Yu Gothic" w:eastAsia="Yu Gothic"/>
          <w:b w:val="0"/>
          <w:color w:val="595959"/>
          <w:sz w:val="17"/>
        </w:rPr>
        <w:t>※ 本工程はTR01（売上の実在性・期間帰属）に対応する重要な工程である。特に四半期末・年度末は押込み出荷のリスクが高いため、サンプルを拡大する。</w:t>
      </w:r>
    </w:p>
    <w:p>
      <w:r>
        <w:rPr>
          <w:rFonts w:ascii="Yu Gothic" w:hAnsi="Yu Gothic" w:eastAsia="Yu Gothic"/>
          <w:b/>
          <w:color w:val="1F3864"/>
          <w:sz w:val="22"/>
        </w:rPr>
        <w:t>工程20：各部門実績データの受領（翌1〜2営業日）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提出部門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データ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様式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期限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製造本部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生産実績、仕掛品残高、労務時間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所定様式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翌1営業日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倉庫課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在庫受払、循環棚卸結果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SAP／WMS出力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翌1営業日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購買部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未検収の発注残、外注加工の進行状況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所定様式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翌2営業日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人事部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給与計算結果、賞与引当の基礎データ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給与SaaS（S03）出力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翌2営業日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営業本部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受注残、値引・返品の確定情報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所定様式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翌1営業日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各子会社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月次試算表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所定様式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翌7営業日</w:t>
            </w:r>
          </w:p>
        </w:tc>
      </w:tr>
    </w:tbl>
    <w:p/>
    <w:p>
      <w:r>
        <w:rPr>
          <w:rFonts w:ascii="Yu Gothic" w:hAnsi="Yu Gothic" w:eastAsia="Yu Gothic"/>
          <w:b/>
          <w:color w:val="1F3864"/>
          <w:sz w:val="22"/>
        </w:rPr>
        <w:t>工程30：モジュール別の締め処理（翌2〜3営業日）</w:t>
      </w:r>
    </w:p>
    <w:p>
      <w:r>
        <w:rPr>
          <w:rFonts w:ascii="Yu Gothic" w:hAnsi="Yu Gothic" w:eastAsia="Yu Gothic"/>
          <w:b w:val="0"/>
          <w:sz w:val="20"/>
        </w:rPr>
        <w:t>SAPのモジュールは締め順序に依存関係がある。順序を誤ると再オープンが必要となるため、必ず下表の順に実施する。操作手順の詳細はF-02（SAP期末処理 操作手順書）による。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順序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モジュール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主な処理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担当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依存関係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①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SD（販売）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請求伝票の完了確認、売上の締め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 高橋 美咲（E0012）</w:t>
            </w:r>
          </w:p>
        </w:tc>
        <w:tc>
          <w:tcPr>
            <w:tcW w:type="dxa" w:w="15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MMより先に締める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②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MM（購買・在庫）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入荷・検収の締め、未払費用の計上、在庫の締め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経理部担当 石井 健（E0016）</w:t>
            </w:r>
          </w:p>
        </w:tc>
        <w:tc>
          <w:tcPr>
            <w:tcW w:type="dxa" w:w="15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SD締め後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③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CO（管理会計）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標準原価計算（CK40N）、間接費配賦（KSU5）、原価差異の把握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 伊藤 健太（E0013）</w:t>
            </w:r>
          </w:p>
        </w:tc>
        <w:tc>
          <w:tcPr>
            <w:tcW w:type="dxa" w:w="15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MM締め後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④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FI-AA（固定資産）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減価償却の実行（AFAB）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経理部担当 小川 由紀（E0015）</w:t>
            </w:r>
          </w:p>
        </w:tc>
        <w:tc>
          <w:tcPr>
            <w:tcW w:type="dxa" w:w="15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独立して実行可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⑤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FI（財務会計）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総勘定元帳の期間クローズ（OB52）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 高橋 美咲（E0012）</w:t>
            </w:r>
          </w:p>
        </w:tc>
        <w:tc>
          <w:tcPr>
            <w:tcW w:type="dxa" w:w="158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①〜④及び工程40〜60の完了後</w:t>
            </w:r>
          </w:p>
        </w:tc>
      </w:tr>
    </w:tbl>
    <w:p/>
    <w:p>
      <w:r>
        <w:rPr>
          <w:rFonts w:ascii="Yu Gothic" w:hAnsi="Yu Gothic" w:eastAsia="Yu Gothic"/>
          <w:b w:val="0"/>
          <w:color w:val="595959"/>
          <w:sz w:val="17"/>
        </w:rPr>
        <w:t>※ 各バッチの正常終了を必ずジョブログで確認する。エラーが発生した場合は再実行し、実行記録を残す（ITGC-OM-001）。</w:t>
      </w:r>
    </w:p>
    <w:p>
      <w:r>
        <w:rPr>
          <w:rFonts w:ascii="Yu Gothic" w:hAnsi="Yu Gothic" w:eastAsia="Yu Gothic"/>
          <w:b/>
          <w:color w:val="1F3864"/>
          <w:sz w:val="22"/>
        </w:rPr>
        <w:t>工程40：決算整理仕訳の入力（翌4営業日）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No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仕訳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算定方法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担当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証憑・根拠資料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賞与引当金の月次計上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支給見込額×経過月数／支給対象期間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経理部主任 中村 真理（E0014）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賞与引当金計算シート（F-21）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退職給付費用の月次計上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年度の数理計算結果÷12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経理部主任 中村 真理（E0014）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年金数理人報告書（F-18）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製品保証引当金の計上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過去実績率×当月売上高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経理部主任 中村 真理（E0014）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計算シート（F-21）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売上値引・割戻引当金の計上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過去実績率×当月売上高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経理部主任 中村 真理（E0014）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計算資料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前払費用の按分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契約期間に基づく按分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経理部主任 中村 真理（E0014）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契約書、按分計算表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未払費用の計上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検収済で請求書未着の取引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経理部担当 石井 健（E0016）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未払計上明細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貸倒引当金の月次調整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四半期に算定した引当率×当月末債権残高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経理部担当 石井 健（E0016）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貸倒引当金計算シート（F-13）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棚卸資産評価損の計上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滞留在庫の評価減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 伊藤 健太（E0013）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評価損計算シート（F-15）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経過勘定の振替、その他の修正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個別に算定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各担当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計算根拠資料</w:t>
            </w:r>
          </w:p>
        </w:tc>
      </w:tr>
    </w:tbl>
    <w:p/>
    <w:p>
      <w:r>
        <w:rPr>
          <w:rFonts w:ascii="Yu Gothic" w:hAnsi="Yu Gothic" w:eastAsia="Yu Gothic"/>
          <w:b w:val="0"/>
          <w:sz w:val="20"/>
        </w:rPr>
        <w:t>すべての決算整理仕訳は、起票者以外の者が承認する（C-13 第3条）。根拠資料を添付し、決算修正仕訳一覧（F-10）に記録する。</w:t>
      </w:r>
    </w:p>
    <w:p>
      <w:r>
        <w:rPr>
          <w:rFonts w:ascii="Yu Gothic" w:hAnsi="Yu Gothic" w:eastAsia="Yu Gothic"/>
          <w:b/>
          <w:color w:val="1F3864"/>
          <w:sz w:val="22"/>
        </w:rPr>
        <w:t>工程50：勘定残高照合（翌5営業日）</w:t>
      </w:r>
    </w:p>
    <w:p>
      <w:r>
        <w:rPr>
          <w:rFonts w:ascii="Yu Gothic" w:hAnsi="Yu Gothic" w:eastAsia="Yu Gothic"/>
          <w:b w:val="0"/>
          <w:sz w:val="20"/>
        </w:rPr>
        <w:t>勘定残高照合実施要領（F-05）に基づき実施する。対象勘定・担当・許容基準は同要領による。照合結果は照合シート（F-06）に記録し、レビュー者の承認を得る。</w:t>
      </w:r>
    </w:p>
    <w:p>
      <w:r>
        <w:rPr>
          <w:rFonts w:ascii="Yu Gothic" w:hAnsi="Yu Gothic" w:eastAsia="Yu Gothic"/>
          <w:b/>
          <w:color w:val="1F3864"/>
          <w:sz w:val="22"/>
        </w:rPr>
        <w:t>工程60：増減分析（翌5営業日）</w:t>
      </w:r>
    </w:p>
    <w:p>
      <w:r>
        <w:rPr>
          <w:rFonts w:ascii="Yu Gothic" w:hAnsi="Yu Gothic" w:eastAsia="Yu Gothic"/>
          <w:b w:val="0"/>
          <w:sz w:val="20"/>
        </w:rPr>
        <w:t>増減分析要領（F-03）に基づき実施する。前月比±15%又は10,000千円以上の変動について、理由を分析シートに記載する。理由が説明できない項目は、原因が判明するまで決算を確定させない。</w:t>
      </w:r>
    </w:p>
    <w:p>
      <w:r>
        <w:rPr>
          <w:rFonts w:ascii="Yu Gothic" w:hAnsi="Yu Gothic" w:eastAsia="Yu Gothic"/>
          <w:b/>
          <w:color w:val="1F3864"/>
          <w:sz w:val="22"/>
        </w:rPr>
        <w:t>工程70：月次決算チェックリストの完了（翌6営業日）</w:t>
      </w:r>
    </w:p>
    <w:p>
      <w:r>
        <w:rPr>
          <w:rFonts w:ascii="Yu Gothic" w:hAnsi="Yu Gothic" w:eastAsia="Yu Gothic"/>
          <w:b w:val="0"/>
          <w:sz w:val="20"/>
        </w:rPr>
        <w:t>月次決算チェックリスト（45項目／定義はC-12）の全項目について、実施日・実施者・結果を記録する。判定基準を満たさない項目は「例外」として内容・原因・対応を備考欄に記載し、経理部長へ報告する。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結果の区分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意味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対応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完了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判定基準を満たした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例外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判定基準を満たさなかった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内容・原因・対応を記載し経理部長へ報告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該当なし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当月に該当する取引がなかった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その旨を記載（空欄不可）</w:t>
            </w:r>
          </w:p>
        </w:tc>
      </w:tr>
    </w:tbl>
    <w:p/>
    <w:p>
      <w:r>
        <w:rPr>
          <w:rFonts w:ascii="Yu Gothic" w:hAnsi="Yu Gothic" w:eastAsia="Yu Gothic"/>
          <w:b/>
          <w:color w:val="1F3864"/>
          <w:sz w:val="22"/>
        </w:rPr>
        <w:t>工程80：総勘定元帳の締め（翌6営業日）</w:t>
      </w:r>
    </w:p>
    <w:p>
      <w:r>
        <w:rPr>
          <w:rFonts w:ascii="Yu Gothic" w:hAnsi="Yu Gothic" w:eastAsia="Yu Gothic"/>
          <w:b w:val="0"/>
          <w:sz w:val="20"/>
        </w:rPr>
        <w:t>工程30⑤のFI期間クローズを実行する。クローズ後の仕訳は再オープン申請（情報システム部の承認を要する）が必要となるため、クローズ前に未処理事項がないことを必ず確認する。</w:t>
      </w:r>
    </w:p>
    <w:p>
      <w:r>
        <w:rPr>
          <w:rFonts w:ascii="Yu Gothic" w:hAnsi="Yu Gothic" w:eastAsia="Yu Gothic"/>
          <w:b/>
          <w:color w:val="1F3864"/>
          <w:sz w:val="22"/>
        </w:rPr>
        <w:t>工程90：経理部長による承認（翌7営業日）</w:t>
      </w:r>
    </w:p>
    <w:p>
      <w:r>
        <w:rPr>
          <w:rFonts w:ascii="Yu Gothic" w:hAnsi="Yu Gothic" w:eastAsia="Yu Gothic"/>
          <w:b w:val="0"/>
          <w:sz w:val="20"/>
        </w:rPr>
        <w:t>経理部長は、次を確認したうえで稟議ワークフロー（S04）により月次決算の完了を承認する。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月次決算チェックリスト45項目がすべて完了又は例外処理済であること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勘定残高照合が完了し、未解消の差異がないこと（ある場合は内容と対応方針）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増減分析において説明できない変動がないこと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決算整理仕訳がすべて承認済であること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試算表の借方合計と貸方合計が一致していること</w:t>
      </w:r>
    </w:p>
    <w:p>
      <w:r>
        <w:rPr>
          <w:rFonts w:ascii="Yu Gothic" w:hAnsi="Yu Gothic" w:eastAsia="Yu Gothic"/>
          <w:b/>
          <w:color w:val="2F5597"/>
          <w:sz w:val="26"/>
        </w:rPr>
        <w:t>4. 例外・イレギュラー対応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状況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対応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報告先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締め後に修正が必要な事項が判明した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重要性を評価する。重要な場合は情報システム部へ期間の再オープンを申請し、修正仕訳を起票する。重要でない場合は翌月に修正する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経理部長（重要な場合は取締役CFO）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バッチがエラーで終了した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エラー内容を確認し、原因を除去して再実行する。再実行できない場合は情報システム部へエスカレーションする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経理部課長・情報システム部長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各部門からのデータが期限までに提出されない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督促する。翌2営業日までに入手できない場合は暫定値で処理し、確定後に修正する。暫定値である旨をチェックリストに記載する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決算が期限を3営業日超過する見込み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直ちに経理部長へ報告し、取締役CFOへエスカレーションする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経理部長→取締役CFO→経営会議（E-23 No.8）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担当者が不在（病欠等）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決算業務分担表（C-09）のバックアップ担当が代行する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システム障害により決算作業ができない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IT-BCP（R26）に基づき対応。復旧見込みを確認のうえスケジュールを再設定する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情報システム部長→取締役CFO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5. 四半期末月の追加作業</w:t>
      </w:r>
    </w:p>
    <w:p>
      <w:r>
        <w:rPr>
          <w:rFonts w:ascii="Yu Gothic" w:hAnsi="Yu Gothic" w:eastAsia="Yu Gothic"/>
          <w:b w:val="0"/>
          <w:sz w:val="20"/>
        </w:rPr>
        <w:t>四半期末月（6月・9月・12月・3月）は、月次決算に加えて次を実施する。詳細はC-08による。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会計上の見積り5項目の算定と3段階レビュー（F-12〜F-22）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連結パッケージの回収・検証、連結決算（F-23〜F-30）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注記情報の収集（C-15）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開示書類の作成（C-16）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財務報告連絡会の開催（E-20）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