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1F3864"/>
          <w:sz w:val="32"/>
        </w:rPr>
        <w:t>SAP期末処理 操作手順書</w:t>
      </w:r>
    </w:p>
    <w:p>
      <w:pPr>
        <w:jc w:val="center"/>
      </w:pPr>
      <w:r>
        <w:rPr>
          <w:rFonts w:ascii="Yu Gothic" w:hAnsi="Yu Gothic" w:eastAsia="Yu Gothic"/>
          <w:b w:val="0"/>
          <w:color w:val="595959"/>
          <w:sz w:val="18"/>
        </w:rPr>
        <w:t>文書番号：F-02　／　デモA株式会社　／　版数 v2.2　／　2025年4月1日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Yu Gothic" w:hAnsi="Yu Gothic" w:eastAsia="Yu Gothic"/>
                <w:b/>
                <w:sz w:val="18"/>
              </w:rPr>
              <w:t>文書番号</w:t>
            </w:r>
          </w:p>
        </w:tc>
        <w:tc>
          <w:tcPr>
            <w:tcW w:type="dxa" w:w="4986"/>
          </w:tcPr>
          <w:p>
            <w:r>
              <w:rPr>
                <w:rFonts w:ascii="Yu Gothic" w:hAnsi="Yu Gothic" w:eastAsia="Yu Gothic"/>
                <w:b w:val="0"/>
                <w:sz w:val="18"/>
              </w:rPr>
              <w:t>F-02</w:t>
            </w:r>
          </w:p>
        </w:tc>
      </w:tr>
      <w:tr>
        <w:tc>
          <w:tcPr>
            <w:tcW w:type="dxa" w:w="4986"/>
          </w:tcPr>
          <w:p>
            <w:r>
              <w:rPr>
                <w:rFonts w:ascii="Yu Gothic" w:hAnsi="Yu Gothic" w:eastAsia="Yu Gothic"/>
                <w:b/>
                <w:sz w:val="18"/>
              </w:rPr>
              <w:t>主管部門</w:t>
            </w:r>
          </w:p>
        </w:tc>
        <w:tc>
          <w:tcPr>
            <w:tcW w:type="dxa" w:w="4986"/>
          </w:tcPr>
          <w:p>
            <w:r>
              <w:rPr>
                <w:rFonts w:ascii="Yu Gothic" w:hAnsi="Yu Gothic" w:eastAsia="Yu Gothic"/>
                <w:b w:val="0"/>
                <w:sz w:val="18"/>
              </w:rPr>
              <w:t>経理部 財務会計課／情報システム部（アプリチーム）</w:t>
            </w:r>
          </w:p>
        </w:tc>
      </w:tr>
      <w:tr>
        <w:tc>
          <w:tcPr>
            <w:tcW w:type="dxa" w:w="4986"/>
          </w:tcPr>
          <w:p>
            <w:r>
              <w:rPr>
                <w:rFonts w:ascii="Yu Gothic" w:hAnsi="Yu Gothic" w:eastAsia="Yu Gothic"/>
                <w:b/>
                <w:sz w:val="18"/>
              </w:rPr>
              <w:t>承認</w:t>
            </w:r>
          </w:p>
        </w:tc>
        <w:tc>
          <w:tcPr>
            <w:tcW w:type="dxa" w:w="4986"/>
          </w:tcPr>
          <w:p>
            <w:r>
              <w:rPr>
                <w:rFonts w:ascii="Yu Gothic" w:hAnsi="Yu Gothic" w:eastAsia="Yu Gothic"/>
                <w:b w:val="0"/>
                <w:sz w:val="18"/>
              </w:rPr>
              <w:t>経理部長 佐藤 一郎（E0011）／情報システム部長 岡田 宏（E0051）</w:t>
            </w:r>
          </w:p>
        </w:tc>
      </w:tr>
      <w:tr>
        <w:tc>
          <w:tcPr>
            <w:tcW w:type="dxa" w:w="4986"/>
          </w:tcPr>
          <w:p>
            <w:r>
              <w:rPr>
                <w:rFonts w:ascii="Yu Gothic" w:hAnsi="Yu Gothic" w:eastAsia="Yu Gothic"/>
                <w:b/>
                <w:sz w:val="18"/>
              </w:rPr>
              <w:t>対象システム</w:t>
            </w:r>
          </w:p>
        </w:tc>
        <w:tc>
          <w:tcPr>
            <w:tcW w:type="dxa" w:w="4986"/>
          </w:tcPr>
          <w:p>
            <w:r>
              <w:rPr>
                <w:rFonts w:ascii="Yu Gothic" w:hAnsi="Yu Gothic" w:eastAsia="Yu Gothic"/>
                <w:b w:val="0"/>
                <w:sz w:val="18"/>
              </w:rPr>
              <w:t>SAP S/4HANA（S01）</w:t>
            </w:r>
          </w:p>
        </w:tc>
      </w:tr>
      <w:tr>
        <w:tc>
          <w:tcPr>
            <w:tcW w:type="dxa" w:w="4986"/>
          </w:tcPr>
          <w:p>
            <w:r>
              <w:rPr>
                <w:rFonts w:ascii="Yu Gothic" w:hAnsi="Yu Gothic" w:eastAsia="Yu Gothic"/>
                <w:b/>
                <w:sz w:val="18"/>
              </w:rPr>
              <w:t>関連統制</w:t>
            </w:r>
          </w:p>
        </w:tc>
        <w:tc>
          <w:tcPr>
            <w:tcW w:type="dxa" w:w="4986"/>
          </w:tcPr>
          <w:p>
            <w:r>
              <w:rPr>
                <w:rFonts w:ascii="Yu Gothic" w:hAnsi="Yu Gothic" w:eastAsia="Yu Gothic"/>
                <w:b w:val="0"/>
                <w:sz w:val="18"/>
              </w:rPr>
              <w:t>FCRP-001、ITGC-OM-001、ITAC-004</w:t>
            </w:r>
          </w:p>
        </w:tc>
      </w:tr>
      <w:tr>
        <w:tc>
          <w:tcPr>
            <w:tcW w:type="dxa" w:w="4986"/>
          </w:tcPr>
          <w:p>
            <w:r>
              <w:rPr>
                <w:rFonts w:ascii="Yu Gothic" w:hAnsi="Yu Gothic" w:eastAsia="Yu Gothic"/>
                <w:b/>
                <w:sz w:val="18"/>
              </w:rPr>
              <w:t>実績</w:t>
            </w:r>
          </w:p>
        </w:tc>
        <w:tc>
          <w:tcPr>
            <w:tcW w:type="dxa" w:w="4986"/>
          </w:tcPr>
          <w:p>
            <w:r>
              <w:rPr>
                <w:rFonts w:ascii="Yu Gothic" w:hAnsi="Yu Gothic" w:eastAsia="Yu Gothic"/>
                <w:b w:val="0"/>
                <w:sz w:val="18"/>
              </w:rPr>
              <w:t>4.evidence/FCRP/SAP_PeriodClose_JobLog_FY2025.csv</w:t>
            </w:r>
          </w:p>
        </w:tc>
      </w:tr>
    </w:tbl>
    <w:p/>
    <w:p>
      <w:r>
        <w:rPr>
          <w:rFonts w:ascii="Yu Gothic" w:hAnsi="Yu Gothic" w:eastAsia="Yu Gothic"/>
          <w:b/>
          <w:color w:val="2F5597"/>
          <w:sz w:val="26"/>
        </w:rPr>
        <w:t>1. 概要と実行順序</w:t>
      </w:r>
    </w:p>
    <w:p>
      <w:r>
        <w:rPr>
          <w:rFonts w:ascii="Yu Gothic" w:hAnsi="Yu Gothic" w:eastAsia="Yu Gothic"/>
          <w:b w:val="0"/>
          <w:sz w:val="20"/>
        </w:rPr>
        <w:t>SAPの期末処理は、モジュール間に依存関係がある。下図の順序で実行すること。順序を誤ると再処理が必要となり、決算スケジュールに重大な影響を及ぼす。</w:t>
      </w:r>
    </w:p>
    <w:p>
      <w:r>
        <w:rPr>
          <w:rFonts w:ascii="Yu Gothic" w:hAnsi="Yu Gothic" w:eastAsia="Yu Gothic"/>
          <w:b w:val="0"/>
          <w:sz w:val="20"/>
        </w:rPr>
        <w:t>SD（販売）→ MM（購買・在庫）→ CO（管理会計）→ FI-AA（固定資産）→ FI（財務会計・期間クローズ）</w:t>
      </w:r>
    </w:p>
    <w:p>
      <w:r>
        <w:rPr>
          <w:rFonts w:ascii="Yu Gothic" w:hAnsi="Yu Gothic" w:eastAsia="Yu Gothic"/>
          <w:b/>
          <w:color w:val="2F5597"/>
          <w:sz w:val="26"/>
        </w:rPr>
        <w:t>2. モジュール別の手順</w:t>
      </w:r>
    </w:p>
    <w:p>
      <w:r>
        <w:rPr>
          <w:rFonts w:ascii="Yu Gothic" w:hAnsi="Yu Gothic" w:eastAsia="Yu Gothic"/>
          <w:b/>
          <w:color w:val="1F3864"/>
          <w:sz w:val="22"/>
        </w:rPr>
        <w:t>2-1. SD（販売）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No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作業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Tコード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実行者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確認事項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エラー時の対応</w:t>
            </w:r>
          </w:p>
        </w:tc>
      </w:tr>
      <w:tr>
        <w:tc>
          <w:tcPr>
            <w:tcW w:type="dxa" w:w="56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S1</w:t>
            </w:r>
          </w:p>
        </w:tc>
        <w:tc>
          <w:tcPr>
            <w:tcW w:type="dxa" w:w="255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未完了の請求伝票の確認</w:t>
            </w:r>
          </w:p>
        </w:tc>
        <w:tc>
          <w:tcPr>
            <w:tcW w:type="dxa" w:w="170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VF04</w:t>
            </w:r>
          </w:p>
        </w:tc>
        <w:tc>
          <w:tcPr>
            <w:tcW w:type="dxa" w:w="141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経理部課長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未処理の出荷伝票が0件であること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営業部・倉庫課へ確認のうえ処理を完了させる</w:t>
            </w:r>
          </w:p>
        </w:tc>
      </w:tr>
      <w:tr>
        <w:tc>
          <w:tcPr>
            <w:tcW w:type="dxa" w:w="56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S2</w:t>
            </w:r>
          </w:p>
        </w:tc>
        <w:tc>
          <w:tcPr>
            <w:tcW w:type="dxa" w:w="255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請求伝票の一括作成</w:t>
            </w:r>
          </w:p>
        </w:tc>
        <w:tc>
          <w:tcPr>
            <w:tcW w:type="dxa" w:w="170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VF06</w:t>
            </w:r>
          </w:p>
        </w:tc>
        <w:tc>
          <w:tcPr>
            <w:tcW w:type="dxa" w:w="141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経理部課長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バッチが正常終了し、エラーログが0件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エラー明細を確認し、原因を除去して再実行</w:t>
            </w:r>
          </w:p>
        </w:tc>
      </w:tr>
      <w:tr>
        <w:tc>
          <w:tcPr>
            <w:tcW w:type="dxa" w:w="56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S3</w:t>
            </w:r>
          </w:p>
        </w:tc>
        <w:tc>
          <w:tcPr>
            <w:tcW w:type="dxa" w:w="255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出荷・売上突合バッチの実行</w:t>
            </w:r>
          </w:p>
        </w:tc>
        <w:tc>
          <w:tcPr>
            <w:tcW w:type="dxa" w:w="170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ZSD_SHIP_SALES_MATCH</w:t>
            </w:r>
          </w:p>
        </w:tc>
        <w:tc>
          <w:tcPr>
            <w:tcW w:type="dxa" w:w="141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経理部課長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不一致リスト（ZSD_UNMATCH）が0件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不一致の全件について原因を調査し記録</w:t>
            </w:r>
          </w:p>
        </w:tc>
      </w:tr>
      <w:tr>
        <w:tc>
          <w:tcPr>
            <w:tcW w:type="dxa" w:w="56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S4</w:t>
            </w:r>
          </w:p>
        </w:tc>
        <w:tc>
          <w:tcPr>
            <w:tcW w:type="dxa" w:w="255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売上高の確認</w:t>
            </w:r>
          </w:p>
        </w:tc>
        <w:tc>
          <w:tcPr>
            <w:tcW w:type="dxa" w:w="170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VF05</w:t>
            </w:r>
          </w:p>
        </w:tc>
        <w:tc>
          <w:tcPr>
            <w:tcW w:type="dxa" w:w="141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経理部課長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当月売上高が事業部門の報告と一致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差異の原因を調査</w:t>
            </w:r>
          </w:p>
        </w:tc>
      </w:tr>
    </w:tbl>
    <w:p/>
    <w:p>
      <w:r>
        <w:rPr>
          <w:rFonts w:ascii="Yu Gothic" w:hAnsi="Yu Gothic" w:eastAsia="Yu Gothic"/>
          <w:b/>
          <w:color w:val="1F3864"/>
          <w:sz w:val="22"/>
        </w:rPr>
        <w:t>2-2. MM（購買・在庫）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No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作業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Tコード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実行者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確認事項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エラー時の対応</w:t>
            </w:r>
          </w:p>
        </w:tc>
      </w:tr>
      <w:tr>
        <w:tc>
          <w:tcPr>
            <w:tcW w:type="dxa" w:w="56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M1</w:t>
            </w:r>
          </w:p>
        </w:tc>
        <w:tc>
          <w:tcPr>
            <w:tcW w:type="dxa" w:w="255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未検収の発注残の確認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ME2N</w:t>
            </w:r>
          </w:p>
        </w:tc>
        <w:tc>
          <w:tcPr>
            <w:tcW w:type="dxa" w:w="141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経理部担当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検収済で未計上のものがないこと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購買部へ確認のうえ検収を登録</w:t>
            </w:r>
          </w:p>
        </w:tc>
      </w:tr>
      <w:tr>
        <w:tc>
          <w:tcPr>
            <w:tcW w:type="dxa" w:w="56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M2</w:t>
            </w:r>
          </w:p>
        </w:tc>
        <w:tc>
          <w:tcPr>
            <w:tcW w:type="dxa" w:w="255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請求書照合の未処理分の確認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MIR6</w:t>
            </w:r>
          </w:p>
        </w:tc>
        <w:tc>
          <w:tcPr>
            <w:tcW w:type="dxa" w:w="141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経理部担当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未処理件数と金額を把握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未払費用として計上する</w:t>
            </w:r>
          </w:p>
        </w:tc>
      </w:tr>
      <w:tr>
        <w:tc>
          <w:tcPr>
            <w:tcW w:type="dxa" w:w="56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M3</w:t>
            </w:r>
          </w:p>
        </w:tc>
        <w:tc>
          <w:tcPr>
            <w:tcW w:type="dxa" w:w="255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在庫評価の実行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MMPV（期間更新）</w:t>
            </w:r>
          </w:p>
        </w:tc>
        <w:tc>
          <w:tcPr>
            <w:tcW w:type="dxa" w:w="141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経理部担当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在庫金額が前月末＋当月増減と整合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差異の原因を調査</w:t>
            </w:r>
          </w:p>
        </w:tc>
      </w:tr>
      <w:tr>
        <w:tc>
          <w:tcPr>
            <w:tcW w:type="dxa" w:w="56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M4</w:t>
            </w:r>
          </w:p>
        </w:tc>
        <w:tc>
          <w:tcPr>
            <w:tcW w:type="dxa" w:w="255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MM期間のクローズ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MMPV</w:t>
            </w:r>
          </w:p>
        </w:tc>
        <w:tc>
          <w:tcPr>
            <w:tcW w:type="dxa" w:w="141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経理部担当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期間が翌月に更新されたこと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クローズできない場合は未処理伝票を確認</w:t>
            </w:r>
          </w:p>
        </w:tc>
      </w:tr>
    </w:tbl>
    <w:p/>
    <w:p>
      <w:r>
        <w:rPr>
          <w:rFonts w:ascii="Yu Gothic" w:hAnsi="Yu Gothic" w:eastAsia="Yu Gothic"/>
          <w:b/>
          <w:color w:val="1F3864"/>
          <w:sz w:val="22"/>
        </w:rPr>
        <w:t>2-3. CO（管理会計）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No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作業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Tコード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実行者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確認事項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エラー時の対応</w:t>
            </w:r>
          </w:p>
        </w:tc>
      </w:tr>
      <w:tr>
        <w:tc>
          <w:tcPr>
            <w:tcW w:type="dxa" w:w="56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C1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標準原価計算バッチ</w:t>
            </w:r>
          </w:p>
        </w:tc>
        <w:tc>
          <w:tcPr>
            <w:tcW w:type="dxa" w:w="255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CK40N</w:t>
            </w:r>
          </w:p>
        </w:tc>
        <w:tc>
          <w:tcPr>
            <w:tcW w:type="dxa" w:w="170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経理部課長（管理会計）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バッチが正常終了し、エラーログが0件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エラー明細を確認し再実行。解消しない場合は情シスへ</w:t>
            </w:r>
          </w:p>
        </w:tc>
      </w:tr>
      <w:tr>
        <w:tc>
          <w:tcPr>
            <w:tcW w:type="dxa" w:w="56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C2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仕掛品→製品の振替</w:t>
            </w:r>
          </w:p>
        </w:tc>
        <w:tc>
          <w:tcPr>
            <w:tcW w:type="dxa" w:w="255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MB1B</w:t>
            </w:r>
          </w:p>
        </w:tc>
        <w:tc>
          <w:tcPr>
            <w:tcW w:type="dxa" w:w="170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経理部課長（管理会計）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当月完成分がすべて振替済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製造本部へ確認</w:t>
            </w:r>
          </w:p>
        </w:tc>
      </w:tr>
      <w:tr>
        <w:tc>
          <w:tcPr>
            <w:tcW w:type="dxa" w:w="56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C3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間接費の配賦</w:t>
            </w:r>
          </w:p>
        </w:tc>
        <w:tc>
          <w:tcPr>
            <w:tcW w:type="dxa" w:w="255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KSU5</w:t>
            </w:r>
          </w:p>
        </w:tc>
        <w:tc>
          <w:tcPr>
            <w:tcW w:type="dxa" w:w="170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経理部課長（管理会計）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配賦後の未配賦残高が0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配賦基準の設定を確認</w:t>
            </w:r>
          </w:p>
        </w:tc>
      </w:tr>
      <w:tr>
        <w:tc>
          <w:tcPr>
            <w:tcW w:type="dxa" w:w="56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C4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原価差異の把握・分析</w:t>
            </w:r>
          </w:p>
        </w:tc>
        <w:tc>
          <w:tcPr>
            <w:tcW w:type="dxa" w:w="255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KKS1／S_ALR_87013611</w:t>
            </w:r>
          </w:p>
        </w:tc>
        <w:tc>
          <w:tcPr>
            <w:tcW w:type="dxa" w:w="170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経理部課長（管理会計）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差異が標準原価の±5%又は5,000千円以内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超過する場合は原因を分析し記載（月次CL No.13）</w:t>
            </w:r>
          </w:p>
        </w:tc>
      </w:tr>
      <w:tr>
        <w:tc>
          <w:tcPr>
            <w:tcW w:type="dxa" w:w="56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C5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COの期間クローズ</w:t>
            </w:r>
          </w:p>
        </w:tc>
        <w:tc>
          <w:tcPr>
            <w:tcW w:type="dxa" w:w="255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OKP1</w:t>
            </w:r>
          </w:p>
        </w:tc>
        <w:tc>
          <w:tcPr>
            <w:tcW w:type="dxa" w:w="170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経理部課長（管理会計）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―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―</w:t>
            </w:r>
          </w:p>
        </w:tc>
      </w:tr>
    </w:tbl>
    <w:p/>
    <w:p>
      <w:r>
        <w:rPr>
          <w:rFonts w:ascii="Yu Gothic" w:hAnsi="Yu Gothic" w:eastAsia="Yu Gothic"/>
          <w:b/>
          <w:color w:val="1F3864"/>
          <w:sz w:val="22"/>
        </w:rPr>
        <w:t>2-4. FI-AA（固定資産）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No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作業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Tコード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実行者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確認事項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エラー時の対応</w:t>
            </w:r>
          </w:p>
        </w:tc>
      </w:tr>
      <w:tr>
        <w:tc>
          <w:tcPr>
            <w:tcW w:type="dxa" w:w="56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A1</w:t>
            </w:r>
          </w:p>
        </w:tc>
        <w:tc>
          <w:tcPr>
            <w:tcW w:type="dxa" w:w="255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当月取得・除却の登録完了確認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AS03／AW01N</w:t>
            </w:r>
          </w:p>
        </w:tc>
        <w:tc>
          <w:tcPr>
            <w:tcW w:type="dxa" w:w="170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経理部担当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稟議書と資産登録が一致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未登録の資産がないか確認</w:t>
            </w:r>
          </w:p>
        </w:tc>
      </w:tr>
      <w:tr>
        <w:tc>
          <w:tcPr>
            <w:tcW w:type="dxa" w:w="56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A2</w:t>
            </w:r>
          </w:p>
        </w:tc>
        <w:tc>
          <w:tcPr>
            <w:tcW w:type="dxa" w:w="255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減価償却の実行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AFAB</w:t>
            </w:r>
          </w:p>
        </w:tc>
        <w:tc>
          <w:tcPr>
            <w:tcW w:type="dxa" w:w="170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経理部担当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バッチが正常終了。償却額が耐用年数・償却方法どおり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テスト実行で事前検証してから本実行</w:t>
            </w:r>
          </w:p>
        </w:tc>
      </w:tr>
      <w:tr>
        <w:tc>
          <w:tcPr>
            <w:tcW w:type="dxa" w:w="56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A3</w:t>
            </w:r>
          </w:p>
        </w:tc>
        <w:tc>
          <w:tcPr>
            <w:tcW w:type="dxa" w:w="255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償却額の確認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S_ALR_87012936</w:t>
            </w:r>
          </w:p>
        </w:tc>
        <w:tc>
          <w:tcPr>
            <w:tcW w:type="dxa" w:w="170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経理部担当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前月比の増減が取得・除却と整合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差異の原因を調査</w:t>
            </w:r>
          </w:p>
        </w:tc>
      </w:tr>
      <w:tr>
        <w:tc>
          <w:tcPr>
            <w:tcW w:type="dxa" w:w="56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A4</w:t>
            </w:r>
          </w:p>
        </w:tc>
        <w:tc>
          <w:tcPr>
            <w:tcW w:type="dxa" w:w="255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FI-AAの期間クローズ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AJAB（年度末）</w:t>
            </w:r>
          </w:p>
        </w:tc>
        <w:tc>
          <w:tcPr>
            <w:tcW w:type="dxa" w:w="170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経理部担当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―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年度末のみ実施</w:t>
            </w:r>
          </w:p>
        </w:tc>
      </w:tr>
    </w:tbl>
    <w:p/>
    <w:p>
      <w:r>
        <w:rPr>
          <w:rFonts w:ascii="Yu Gothic" w:hAnsi="Yu Gothic" w:eastAsia="Yu Gothic"/>
          <w:b w:val="0"/>
          <w:color w:val="595959"/>
          <w:sz w:val="17"/>
        </w:rPr>
        <w:t>※ AFABは必ずテスト実行（テストランのチェックを付けた状態）で結果を確認してから本実行すること。本実行後の取消は困難である。ITAC-004の評価対象。</w:t>
      </w:r>
    </w:p>
    <w:p>
      <w:r>
        <w:rPr>
          <w:rFonts w:ascii="Yu Gothic" w:hAnsi="Yu Gothic" w:eastAsia="Yu Gothic"/>
          <w:b/>
          <w:color w:val="1F3864"/>
          <w:sz w:val="22"/>
        </w:rPr>
        <w:t>2-5. FI（財務会計）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No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作業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Tコード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実行者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確認事項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エラー時の対応</w:t>
            </w:r>
          </w:p>
        </w:tc>
      </w:tr>
      <w:tr>
        <w:tc>
          <w:tcPr>
            <w:tcW w:type="dxa" w:w="56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F1</w:t>
            </w:r>
          </w:p>
        </w:tc>
        <w:tc>
          <w:tcPr>
            <w:tcW w:type="dxa" w:w="255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外貨建債権債務の換算替</w:t>
            </w:r>
          </w:p>
        </w:tc>
        <w:tc>
          <w:tcPr>
            <w:tcW w:type="dxa" w:w="255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FAGL_FC_VAL</w:t>
            </w:r>
          </w:p>
        </w:tc>
        <w:tc>
          <w:tcPr>
            <w:tcW w:type="dxa" w:w="170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経理部主任</w:t>
            </w:r>
          </w:p>
        </w:tc>
        <w:tc>
          <w:tcPr>
            <w:tcW w:type="dxa" w:w="255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適用レートが為替レートマスタと一致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レートマスタを確認・修正</w:t>
            </w:r>
          </w:p>
        </w:tc>
      </w:tr>
      <w:tr>
        <w:tc>
          <w:tcPr>
            <w:tcW w:type="dxa" w:w="56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F2</w:t>
            </w:r>
          </w:p>
        </w:tc>
        <w:tc>
          <w:tcPr>
            <w:tcW w:type="dxa" w:w="255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GL/補助元帳の照合</w:t>
            </w:r>
          </w:p>
        </w:tc>
        <w:tc>
          <w:tcPr>
            <w:tcW w:type="dxa" w:w="255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S_ALR_87012168等</w:t>
            </w:r>
          </w:p>
        </w:tc>
        <w:tc>
          <w:tcPr>
            <w:tcW w:type="dxa" w:w="170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経理部担当</w:t>
            </w:r>
          </w:p>
        </w:tc>
        <w:tc>
          <w:tcPr>
            <w:tcW w:type="dxa" w:w="255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補助元帳と総勘定元帳が一致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差異を全額解消（F-05）</w:t>
            </w:r>
          </w:p>
        </w:tc>
      </w:tr>
      <w:tr>
        <w:tc>
          <w:tcPr>
            <w:tcW w:type="dxa" w:w="56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F3</w:t>
            </w:r>
          </w:p>
        </w:tc>
        <w:tc>
          <w:tcPr>
            <w:tcW w:type="dxa" w:w="255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試算表の出力・確認</w:t>
            </w:r>
          </w:p>
        </w:tc>
        <w:tc>
          <w:tcPr>
            <w:tcW w:type="dxa" w:w="255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S_ALR_87012284</w:t>
            </w:r>
          </w:p>
        </w:tc>
        <w:tc>
          <w:tcPr>
            <w:tcW w:type="dxa" w:w="170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経理部課長</w:t>
            </w:r>
          </w:p>
        </w:tc>
        <w:tc>
          <w:tcPr>
            <w:tcW w:type="dxa" w:w="255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借方合計＝貸方合計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不一致の原因を調査</w:t>
            </w:r>
          </w:p>
        </w:tc>
      </w:tr>
      <w:tr>
        <w:tc>
          <w:tcPr>
            <w:tcW w:type="dxa" w:w="56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F4</w:t>
            </w:r>
          </w:p>
        </w:tc>
        <w:tc>
          <w:tcPr>
            <w:tcW w:type="dxa" w:w="255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締切後仕訳の有無確認</w:t>
            </w:r>
          </w:p>
        </w:tc>
        <w:tc>
          <w:tcPr>
            <w:tcW w:type="dxa" w:w="255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SM37／FBL3N</w:t>
            </w:r>
          </w:p>
        </w:tc>
        <w:tc>
          <w:tcPr>
            <w:tcW w:type="dxa" w:w="170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経理部課長</w:t>
            </w:r>
          </w:p>
        </w:tc>
        <w:tc>
          <w:tcPr>
            <w:tcW w:type="dxa" w:w="255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期間クローズ後の仕訳が0件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ある場合は再オープン申請の承認証跡を確認</w:t>
            </w:r>
          </w:p>
        </w:tc>
      </w:tr>
      <w:tr>
        <w:tc>
          <w:tcPr>
            <w:tcW w:type="dxa" w:w="56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F5</w:t>
            </w:r>
          </w:p>
        </w:tc>
        <w:tc>
          <w:tcPr>
            <w:tcW w:type="dxa" w:w="255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FIの期間クローズ</w:t>
            </w:r>
          </w:p>
        </w:tc>
        <w:tc>
          <w:tcPr>
            <w:tcW w:type="dxa" w:w="255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OB52</w:t>
            </w:r>
          </w:p>
        </w:tc>
        <w:tc>
          <w:tcPr>
            <w:tcW w:type="dxa" w:w="170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経理部課長</w:t>
            </w:r>
          </w:p>
        </w:tc>
        <w:tc>
          <w:tcPr>
            <w:tcW w:type="dxa" w:w="255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対象期間がクローズされたこと。クローズ後は経理部の一般ユーザは転記不可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未処理伝票がある場合はクローズできない</w:t>
            </w:r>
          </w:p>
        </w:tc>
      </w:tr>
      <w:tr>
        <w:tc>
          <w:tcPr>
            <w:tcW w:type="dxa" w:w="567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F6</w:t>
            </w:r>
          </w:p>
        </w:tc>
        <w:tc>
          <w:tcPr>
            <w:tcW w:type="dxa" w:w="255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連結システムへの試算表連携</w:t>
            </w:r>
          </w:p>
        </w:tc>
        <w:tc>
          <w:tcPr>
            <w:tcW w:type="dxa" w:w="255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ZFI_TB_EXPORT</w:t>
            </w:r>
          </w:p>
        </w:tc>
        <w:tc>
          <w:tcPr>
            <w:tcW w:type="dxa" w:w="170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経理部課長</w:t>
            </w:r>
          </w:p>
        </w:tc>
        <w:tc>
          <w:tcPr>
            <w:tcW w:type="dxa" w:w="255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S05側で取込完了、貸借差異が0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取込エラーの場合は科目マッピングを確認（四半期末のみ）</w:t>
            </w:r>
          </w:p>
        </w:tc>
      </w:tr>
    </w:tbl>
    <w:p/>
    <w:p>
      <w:r>
        <w:rPr>
          <w:rFonts w:ascii="Yu Gothic" w:hAnsi="Yu Gothic" w:eastAsia="Yu Gothic"/>
          <w:b/>
          <w:color w:val="2F5597"/>
          <w:sz w:val="26"/>
        </w:rPr>
        <w:t>3. 期間の再オープン</w:t>
      </w:r>
    </w:p>
    <w:p>
      <w:r>
        <w:rPr>
          <w:rFonts w:ascii="Yu Gothic" w:hAnsi="Yu Gothic" w:eastAsia="Yu Gothic"/>
          <w:b w:val="0"/>
          <w:sz w:val="20"/>
        </w:rPr>
        <w:t>FI期間クローズ後に修正が必要となった場合、期間の再オープンを申請する。再オープンは統制上の例外であるため、次の手続を必ず経る。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手順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担当</w:t>
            </w:r>
          </w:p>
        </w:tc>
      </w:tr>
      <w:tr>
        <w:tc>
          <w:tcPr>
            <w:tcW w:type="dxa" w:w="850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1</w:t>
            </w:r>
          </w:p>
        </w:tc>
        <w:tc>
          <w:tcPr>
            <w:tcW w:type="dxa" w:w="5386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修正の必要性と重要性を評価する</w:t>
            </w:r>
          </w:p>
        </w:tc>
        <w:tc>
          <w:tcPr>
            <w:tcW w:type="dxa" w:w="283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経理部課長</w:t>
            </w:r>
          </w:p>
        </w:tc>
      </w:tr>
      <w:tr>
        <w:tc>
          <w:tcPr>
            <w:tcW w:type="dxa" w:w="850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2</w:t>
            </w:r>
          </w:p>
        </w:tc>
        <w:tc>
          <w:tcPr>
            <w:tcW w:type="dxa" w:w="5386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経理部長の承認を得る</w:t>
            </w:r>
          </w:p>
        </w:tc>
        <w:tc>
          <w:tcPr>
            <w:tcW w:type="dxa" w:w="283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経理部長</w:t>
            </w:r>
          </w:p>
        </w:tc>
      </w:tr>
      <w:tr>
        <w:tc>
          <w:tcPr>
            <w:tcW w:type="dxa" w:w="850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3</w:t>
            </w:r>
          </w:p>
        </w:tc>
        <w:tc>
          <w:tcPr>
            <w:tcW w:type="dxa" w:w="5386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情報システム部へ再オープンを申請する（対象期間・理由・修正内容を記載）</w:t>
            </w:r>
          </w:p>
        </w:tc>
        <w:tc>
          <w:tcPr>
            <w:tcW w:type="dxa" w:w="283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経理部課長</w:t>
            </w:r>
          </w:p>
        </w:tc>
      </w:tr>
      <w:tr>
        <w:tc>
          <w:tcPr>
            <w:tcW w:type="dxa" w:w="850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4</w:t>
            </w:r>
          </w:p>
        </w:tc>
        <w:tc>
          <w:tcPr>
            <w:tcW w:type="dxa" w:w="5386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情報システム部長の承認を経て、OB52により期間を再オープンする</w:t>
            </w:r>
          </w:p>
        </w:tc>
        <w:tc>
          <w:tcPr>
            <w:tcW w:type="dxa" w:w="283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情報システム部</w:t>
            </w:r>
          </w:p>
        </w:tc>
      </w:tr>
      <w:tr>
        <w:tc>
          <w:tcPr>
            <w:tcW w:type="dxa" w:w="850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5</w:t>
            </w:r>
          </w:p>
        </w:tc>
        <w:tc>
          <w:tcPr>
            <w:tcW w:type="dxa" w:w="5386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修正仕訳を起票・承認する</w:t>
            </w:r>
          </w:p>
        </w:tc>
        <w:tc>
          <w:tcPr>
            <w:tcW w:type="dxa" w:w="283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経理部</w:t>
            </w:r>
          </w:p>
        </w:tc>
      </w:tr>
      <w:tr>
        <w:tc>
          <w:tcPr>
            <w:tcW w:type="dxa" w:w="850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6</w:t>
            </w:r>
          </w:p>
        </w:tc>
        <w:tc>
          <w:tcPr>
            <w:tcW w:type="dxa" w:w="5386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速やかに再クローズする</w:t>
            </w:r>
          </w:p>
        </w:tc>
        <w:tc>
          <w:tcPr>
            <w:tcW w:type="dxa" w:w="283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情報システム部</w:t>
            </w:r>
          </w:p>
        </w:tc>
      </w:tr>
      <w:tr>
        <w:tc>
          <w:tcPr>
            <w:tcW w:type="dxa" w:w="850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7</w:t>
            </w:r>
          </w:p>
        </w:tc>
        <w:tc>
          <w:tcPr>
            <w:tcW w:type="dxa" w:w="5386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再オープンの記録（申請書・承認履歴・修正仕訳）を保存する</w:t>
            </w:r>
          </w:p>
        </w:tc>
        <w:tc>
          <w:tcPr>
            <w:tcW w:type="dxa" w:w="2835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経理部・情報システム部</w:t>
            </w:r>
          </w:p>
        </w:tc>
      </w:tr>
    </w:tbl>
    <w:p/>
    <w:p>
      <w:r>
        <w:rPr>
          <w:rFonts w:ascii="Yu Gothic" w:hAnsi="Yu Gothic" w:eastAsia="Yu Gothic"/>
          <w:b w:val="0"/>
          <w:color w:val="595959"/>
          <w:sz w:val="17"/>
        </w:rPr>
        <w:t>※ 再オープンの実績は月次決算チェックリストNo.42（締切後仕訳の有無確認）で確認される。再オープン申請の承認証跡がない締切後仕訳は、統制の不備として取り扱う。</w:t>
      </w:r>
    </w:p>
    <w:p>
      <w:r>
        <w:rPr>
          <w:rFonts w:ascii="Yu Gothic" w:hAnsi="Yu Gothic" w:eastAsia="Yu Gothic"/>
          <w:b/>
          <w:color w:val="2F5597"/>
          <w:sz w:val="26"/>
        </w:rPr>
        <w:t>4. 実行権限と職務分離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551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作業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必要なSAPロール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付与対象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Yu Gothic" w:hAnsi="Yu Gothic" w:eastAsia="Yu Gothic"/>
                <w:b/>
                <w:sz w:val="17"/>
              </w:rPr>
              <w:t>職務分離上の留意</w:t>
            </w:r>
          </w:p>
        </w:tc>
      </w:tr>
      <w:tr>
        <w:tc>
          <w:tcPr>
            <w:tcW w:type="dxa" w:w="255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各モジュールの締め処理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FI_SUP／CO_SUP／MM_SUP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経理部課長・主任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一般担当者には付与しない</w:t>
            </w:r>
          </w:p>
        </w:tc>
      </w:tr>
      <w:tr>
        <w:tc>
          <w:tcPr>
            <w:tcW w:type="dxa" w:w="255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期間クローズ（OB52）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FI_MGR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経理部課長以上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―</w:t>
            </w:r>
          </w:p>
        </w:tc>
      </w:tr>
      <w:tr>
        <w:tc>
          <w:tcPr>
            <w:tcW w:type="dxa" w:w="255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期間の再オープン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BASIS（情報システム部）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情報システム部のみ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経理部には付与しない（SOD-16）。経理部が自ら再オープンできない設計とする</w:t>
            </w:r>
          </w:p>
        </w:tc>
      </w:tr>
      <w:tr>
        <w:tc>
          <w:tcPr>
            <w:tcW w:type="dxa" w:w="2551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バッチジョブのスケジュール変更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BASIS</w:t>
            </w:r>
          </w:p>
        </w:tc>
        <w:tc>
          <w:tcPr>
            <w:tcW w:type="dxa" w:w="1984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情報システム部のみ</w:t>
            </w:r>
          </w:p>
        </w:tc>
        <w:tc>
          <w:tcPr>
            <w:tcW w:type="dxa" w:w="2268"/>
          </w:tcPr>
          <w:p>
            <w:r>
              <w:rPr>
                <w:rFonts w:ascii="Yu Gothic" w:hAnsi="Yu Gothic" w:eastAsia="Yu Gothic"/>
                <w:b w:val="0"/>
                <w:sz w:val="17"/>
              </w:rPr>
              <w:t>ITGC-OM-001の対象</w:t>
            </w:r>
          </w:p>
        </w:tc>
      </w:tr>
    </w:tbl>
    <w:p/>
    <w:p>
      <w:r>
        <w:rPr>
          <w:rFonts w:ascii="Yu Gothic" w:hAnsi="Yu Gothic" w:eastAsia="Yu Gothic"/>
          <w:b/>
          <w:color w:val="2F5597"/>
          <w:sz w:val="26"/>
        </w:rPr>
        <w:t>5. ジョブログの保存</w:t>
      </w:r>
    </w:p>
    <w:p>
      <w:r>
        <w:rPr>
          <w:rFonts w:ascii="Yu Gothic" w:hAnsi="Yu Gothic" w:eastAsia="Yu Gothic"/>
          <w:b w:val="0"/>
          <w:sz w:val="20"/>
        </w:rPr>
        <w:t>各バッチの実行結果（ジョブ名、実行日時、実行者、終了ステータス、処理件数）はジョブログとして保存する。保存期間は3年（情報セキュリティ基本方針 R21 第8条）。</w:t>
      </w:r>
    </w:p>
    <w:p>
      <w:r>
        <w:rPr>
          <w:rFonts w:ascii="Yu Gothic" w:hAnsi="Yu Gothic" w:eastAsia="Yu Gothic"/>
          <w:b w:val="0"/>
          <w:sz w:val="20"/>
        </w:rPr>
        <w:t>経理部は、月次決算チェックリストの証跡としてジョブログを取得し、対象月のフォルダに保存する（保存期間7年）。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