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Yu Gothic" w:hAnsi="Yu Gothic" w:eastAsia="Yu Gothic"/>
          <w:b/>
          <w:color w:val="1F3864"/>
          <w:sz w:val="32"/>
        </w:rPr>
        <w:t>グループ統一会計方針書</w:t>
      </w:r>
    </w:p>
    <w:p>
      <w:pPr>
        <w:jc w:val="center"/>
      </w:pPr>
      <w:r>
        <w:rPr>
          <w:rFonts w:ascii="Yu Gothic" w:hAnsi="Yu Gothic" w:eastAsia="Yu Gothic"/>
          <w:b w:val="0"/>
          <w:color w:val="595959"/>
          <w:sz w:val="18"/>
        </w:rPr>
        <w:t>文書番号：C-06　／　デモA株式会社グループ　／　版数 v3.0　／　2024年4月1日</w:t>
      </w:r>
    </w:p>
    <w:tbl>
      <w:tblPr>
        <w:tblStyle w:val="TableGrid"/>
        <w:tblW w:type="auto" w:w="0"/>
        <w:jc w:val="center"/>
        <w:tblLook w:firstColumn="1" w:firstRow="1" w:lastColumn="0" w:lastRow="0" w:noHBand="0" w:noVBand="1" w:val="04A0"/>
      </w:tblPr>
      <w:tblGrid>
        <w:gridCol w:w="4986"/>
        <w:gridCol w:w="4986"/>
      </w:tblGrid>
      <w:tr>
        <w:tc>
          <w:tcPr>
            <w:tcW w:type="dxa" w:w="4986"/>
          </w:tcPr>
          <w:p>
            <w:r>
              <w:rPr>
                <w:rFonts w:ascii="Yu Gothic" w:hAnsi="Yu Gothic" w:eastAsia="Yu Gothic"/>
                <w:b/>
                <w:sz w:val="18"/>
              </w:rPr>
              <w:t>文書番号</w:t>
            </w:r>
          </w:p>
        </w:tc>
        <w:tc>
          <w:tcPr>
            <w:tcW w:type="dxa" w:w="4986"/>
          </w:tcPr>
          <w:p>
            <w:r>
              <w:rPr>
                <w:rFonts w:ascii="Yu Gothic" w:hAnsi="Yu Gothic" w:eastAsia="Yu Gothic"/>
                <w:b w:val="0"/>
                <w:sz w:val="18"/>
              </w:rPr>
              <w:t>C-06</w:t>
            </w:r>
          </w:p>
        </w:tc>
      </w:tr>
      <w:tr>
        <w:tc>
          <w:tcPr>
            <w:tcW w:type="dxa" w:w="4986"/>
          </w:tcPr>
          <w:p>
            <w:r>
              <w:rPr>
                <w:rFonts w:ascii="Yu Gothic" w:hAnsi="Yu Gothic" w:eastAsia="Yu Gothic"/>
                <w:b/>
                <w:sz w:val="18"/>
              </w:rPr>
              <w:t>主管部門</w:t>
            </w:r>
          </w:p>
        </w:tc>
        <w:tc>
          <w:tcPr>
            <w:tcW w:type="dxa" w:w="4986"/>
          </w:tcPr>
          <w:p>
            <w:r>
              <w:rPr>
                <w:rFonts w:ascii="Yu Gothic" w:hAnsi="Yu Gothic" w:eastAsia="Yu Gothic"/>
                <w:b w:val="0"/>
                <w:sz w:val="18"/>
              </w:rPr>
              <w:t>経理部</w:t>
            </w:r>
          </w:p>
        </w:tc>
      </w:tr>
      <w:tr>
        <w:tc>
          <w:tcPr>
            <w:tcW w:type="dxa" w:w="4986"/>
          </w:tcPr>
          <w:p>
            <w:r>
              <w:rPr>
                <w:rFonts w:ascii="Yu Gothic" w:hAnsi="Yu Gothic" w:eastAsia="Yu Gothic"/>
                <w:b/>
                <w:sz w:val="18"/>
              </w:rPr>
              <w:t>承認</w:t>
            </w:r>
          </w:p>
        </w:tc>
        <w:tc>
          <w:tcPr>
            <w:tcW w:type="dxa" w:w="4986"/>
          </w:tcPr>
          <w:p>
            <w:r>
              <w:rPr>
                <w:rFonts w:ascii="Yu Gothic" w:hAnsi="Yu Gothic" w:eastAsia="Yu Gothic"/>
                <w:b w:val="0"/>
                <w:sz w:val="18"/>
              </w:rPr>
              <w:t>取締役CFO 渡辺 正博（E0002）</w:t>
            </w:r>
          </w:p>
        </w:tc>
      </w:tr>
      <w:tr>
        <w:tc>
          <w:tcPr>
            <w:tcW w:type="dxa" w:w="4986"/>
          </w:tcPr>
          <w:p>
            <w:r>
              <w:rPr>
                <w:rFonts w:ascii="Yu Gothic" w:hAnsi="Yu Gothic" w:eastAsia="Yu Gothic"/>
                <w:b/>
                <w:sz w:val="18"/>
              </w:rPr>
              <w:t>上位規程</w:t>
            </w:r>
          </w:p>
        </w:tc>
        <w:tc>
          <w:tcPr>
            <w:tcW w:type="dxa" w:w="4986"/>
          </w:tcPr>
          <w:p>
            <w:r>
              <w:rPr>
                <w:rFonts w:ascii="Yu Gothic" w:hAnsi="Yu Gothic" w:eastAsia="Yu Gothic"/>
                <w:b w:val="0"/>
                <w:sz w:val="18"/>
              </w:rPr>
              <w:t>関係会社管理規程（R07）第8条、連結決算規程（R28）第5条</w:t>
            </w:r>
          </w:p>
        </w:tc>
      </w:tr>
      <w:tr>
        <w:tc>
          <w:tcPr>
            <w:tcW w:type="dxa" w:w="4986"/>
          </w:tcPr>
          <w:p>
            <w:r>
              <w:rPr>
                <w:rFonts w:ascii="Yu Gothic" w:hAnsi="Yu Gothic" w:eastAsia="Yu Gothic"/>
                <w:b/>
                <w:sz w:val="18"/>
              </w:rPr>
              <w:t>適用対象</w:t>
            </w:r>
          </w:p>
        </w:tc>
        <w:tc>
          <w:tcPr>
            <w:tcW w:type="dxa" w:w="4986"/>
          </w:tcPr>
          <w:p>
            <w:r>
              <w:rPr>
                <w:rFonts w:ascii="Yu Gothic" w:hAnsi="Yu Gothic" w:eastAsia="Yu Gothic"/>
                <w:b w:val="0"/>
                <w:sz w:val="18"/>
              </w:rPr>
              <w:t>DA-TB、DA-LOG、DAT、DATR の4社</w:t>
            </w:r>
          </w:p>
        </w:tc>
      </w:tr>
      <w:tr>
        <w:tc>
          <w:tcPr>
            <w:tcW w:type="dxa" w:w="4986"/>
          </w:tcPr>
          <w:p>
            <w:r>
              <w:rPr>
                <w:rFonts w:ascii="Yu Gothic" w:hAnsi="Yu Gothic" w:eastAsia="Yu Gothic"/>
                <w:b/>
                <w:sz w:val="18"/>
              </w:rPr>
              <w:t>関連統制</w:t>
            </w:r>
          </w:p>
        </w:tc>
        <w:tc>
          <w:tcPr>
            <w:tcW w:type="dxa" w:w="4986"/>
          </w:tcPr>
          <w:p>
            <w:r>
              <w:rPr>
                <w:rFonts w:ascii="Yu Gothic" w:hAnsi="Yu Gothic" w:eastAsia="Yu Gothic"/>
                <w:b w:val="0"/>
                <w:sz w:val="18"/>
              </w:rPr>
              <w:t>FCRP-002</w:t>
            </w:r>
          </w:p>
        </w:tc>
      </w:tr>
      <w:tr>
        <w:tc>
          <w:tcPr>
            <w:tcW w:type="dxa" w:w="4986"/>
          </w:tcPr>
          <w:p>
            <w:r>
              <w:rPr>
                <w:rFonts w:ascii="Yu Gothic" w:hAnsi="Yu Gothic" w:eastAsia="Yu Gothic"/>
                <w:b/>
                <w:sz w:val="18"/>
              </w:rPr>
              <w:t>配付</w:t>
            </w:r>
          </w:p>
        </w:tc>
        <w:tc>
          <w:tcPr>
            <w:tcW w:type="dxa" w:w="4986"/>
          </w:tcPr>
          <w:p>
            <w:r>
              <w:rPr>
                <w:rFonts w:ascii="Yu Gothic" w:hAnsi="Yu Gothic" w:eastAsia="Yu Gothic"/>
                <w:b w:val="0"/>
                <w:sz w:val="18"/>
              </w:rPr>
              <w:t>各子会社の経理責任者（年1回・改訂時）</w:t>
            </w:r>
          </w:p>
        </w:tc>
      </w:tr>
    </w:tbl>
    <w:p/>
    <w:p>
      <w:r>
        <w:rPr>
          <w:rFonts w:ascii="Yu Gothic" w:hAnsi="Yu Gothic" w:eastAsia="Yu Gothic"/>
          <w:b/>
          <w:color w:val="2F5597"/>
          <w:sz w:val="26"/>
        </w:rPr>
        <w:t>1. 目的及び適用</w:t>
      </w:r>
    </w:p>
    <w:p>
      <w:r>
        <w:rPr>
          <w:rFonts w:ascii="Yu Gothic" w:hAnsi="Yu Gothic" w:eastAsia="Yu Gothic"/>
          <w:b w:val="0"/>
          <w:sz w:val="20"/>
        </w:rPr>
        <w:t>本方針書は、デモA株式会社グループの連結財務諸表を作成するにあたり、同一環境下で行われた同一の性質の取引等について、各社が採用する会計方針を統一することを目的とする。</w:t>
      </w:r>
    </w:p>
    <w:p>
      <w:r>
        <w:rPr>
          <w:rFonts w:ascii="Yu Gothic" w:hAnsi="Yu Gothic" w:eastAsia="Yu Gothic"/>
          <w:b w:val="0"/>
          <w:sz w:val="20"/>
        </w:rPr>
        <w:t>各子会社は、本方針書に従って自社の財務諸表を作成する。自社の所在地国の法令等により本方針書と異なる会計処理が求められる場合は、自社の法定財務諸表は当該法令等に従い、連結報告用の数値については本方針書に従って修正のうえ報告する。</w:t>
      </w:r>
    </w:p>
    <w:p>
      <w:r>
        <w:rPr>
          <w:rFonts w:ascii="Yu Gothic" w:hAnsi="Yu Gothic" w:eastAsia="Yu Gothic"/>
          <w:b/>
          <w:color w:val="2F5597"/>
          <w:sz w:val="26"/>
        </w:rPr>
        <w:t>2. 統一すべき会計方針</w:t>
      </w:r>
    </w:p>
    <w:tbl>
      <w:tblPr>
        <w:tblStyle w:val="TableGrid"/>
        <w:tblW w:type="auto" w:w="0"/>
        <w:tblLook w:firstColumn="1" w:firstRow="1" w:lastColumn="0" w:lastRow="0" w:noHBand="0" w:noVBand="1" w:val="04A0"/>
      </w:tblPr>
      <w:tblGrid>
        <w:gridCol w:w="2493"/>
        <w:gridCol w:w="2493"/>
        <w:gridCol w:w="2493"/>
        <w:gridCol w:w="2493"/>
      </w:tblGrid>
      <w:tr>
        <w:tc>
          <w:tcPr>
            <w:tcW w:type="dxa" w:w="567"/>
          </w:tcPr>
          <w:p>
            <w:pPr>
              <w:jc w:val="center"/>
            </w:pPr>
            <w:r>
              <w:rPr>
                <w:rFonts w:ascii="Yu Gothic" w:hAnsi="Yu Gothic" w:eastAsia="Yu Gothic"/>
                <w:b/>
                <w:sz w:val="17"/>
              </w:rPr>
              <w:t>No</w:t>
            </w:r>
          </w:p>
        </w:tc>
        <w:tc>
          <w:tcPr>
            <w:tcW w:type="dxa" w:w="1701"/>
          </w:tcPr>
          <w:p>
            <w:pPr>
              <w:jc w:val="center"/>
            </w:pPr>
            <w:r>
              <w:rPr>
                <w:rFonts w:ascii="Yu Gothic" w:hAnsi="Yu Gothic" w:eastAsia="Yu Gothic"/>
                <w:b/>
                <w:sz w:val="17"/>
              </w:rPr>
              <w:t>項目</w:t>
            </w:r>
          </w:p>
        </w:tc>
        <w:tc>
          <w:tcPr>
            <w:tcW w:type="dxa" w:w="3685"/>
          </w:tcPr>
          <w:p>
            <w:pPr>
              <w:jc w:val="center"/>
            </w:pPr>
            <w:r>
              <w:rPr>
                <w:rFonts w:ascii="Yu Gothic" w:hAnsi="Yu Gothic" w:eastAsia="Yu Gothic"/>
                <w:b/>
                <w:sz w:val="17"/>
              </w:rPr>
              <w:t>グループ統一方針</w:t>
            </w:r>
          </w:p>
        </w:tc>
        <w:tc>
          <w:tcPr>
            <w:tcW w:type="dxa" w:w="3118"/>
          </w:tcPr>
          <w:p>
            <w:pPr>
              <w:jc w:val="center"/>
            </w:pPr>
            <w:r>
              <w:rPr>
                <w:rFonts w:ascii="Yu Gothic" w:hAnsi="Yu Gothic" w:eastAsia="Yu Gothic"/>
                <w:b/>
                <w:sz w:val="17"/>
              </w:rPr>
              <w:t>子会社が留意すべき点</w:t>
            </w:r>
          </w:p>
        </w:tc>
      </w:tr>
      <w:tr>
        <w:tc>
          <w:tcPr>
            <w:tcW w:type="dxa" w:w="567"/>
          </w:tcPr>
          <w:p>
            <w:r>
              <w:rPr>
                <w:rFonts w:ascii="Yu Gothic" w:hAnsi="Yu Gothic" w:eastAsia="Yu Gothic"/>
                <w:b w:val="0"/>
                <w:sz w:val="17"/>
              </w:rPr>
              <w:t>1</w:t>
            </w:r>
          </w:p>
        </w:tc>
        <w:tc>
          <w:tcPr>
            <w:tcW w:type="dxa" w:w="1701"/>
          </w:tcPr>
          <w:p>
            <w:r>
              <w:rPr>
                <w:rFonts w:ascii="Yu Gothic" w:hAnsi="Yu Gothic" w:eastAsia="Yu Gothic"/>
                <w:b w:val="0"/>
                <w:sz w:val="17"/>
              </w:rPr>
              <w:t>会計期間</w:t>
            </w:r>
          </w:p>
        </w:tc>
        <w:tc>
          <w:tcPr>
            <w:tcW w:type="dxa" w:w="3685"/>
          </w:tcPr>
          <w:p>
            <w:r>
              <w:rPr>
                <w:rFonts w:ascii="Yu Gothic" w:hAnsi="Yu Gothic" w:eastAsia="Yu Gothic"/>
                <w:b w:val="0"/>
                <w:sz w:val="17"/>
              </w:rPr>
              <w:t>4月1日〜3月31日。四半期は3か月ごと</w:t>
            </w:r>
          </w:p>
        </w:tc>
        <w:tc>
          <w:tcPr>
            <w:tcW w:type="dxa" w:w="3118"/>
          </w:tcPr>
          <w:p>
            <w:r>
              <w:rPr>
                <w:rFonts w:ascii="Yu Gothic" w:hAnsi="Yu Gothic" w:eastAsia="Yu Gothic"/>
                <w:b w:val="0"/>
                <w:sz w:val="17"/>
              </w:rPr>
              <w:t>決算日の変更は当社取締役会の承認が必要</w:t>
            </w:r>
          </w:p>
        </w:tc>
      </w:tr>
      <w:tr>
        <w:tc>
          <w:tcPr>
            <w:tcW w:type="dxa" w:w="567"/>
          </w:tcPr>
          <w:p>
            <w:r>
              <w:rPr>
                <w:rFonts w:ascii="Yu Gothic" w:hAnsi="Yu Gothic" w:eastAsia="Yu Gothic"/>
                <w:b w:val="0"/>
                <w:sz w:val="17"/>
              </w:rPr>
              <w:t>2</w:t>
            </w:r>
          </w:p>
        </w:tc>
        <w:tc>
          <w:tcPr>
            <w:tcW w:type="dxa" w:w="1701"/>
          </w:tcPr>
          <w:p>
            <w:r>
              <w:rPr>
                <w:rFonts w:ascii="Yu Gothic" w:hAnsi="Yu Gothic" w:eastAsia="Yu Gothic"/>
                <w:b w:val="0"/>
                <w:sz w:val="17"/>
              </w:rPr>
              <w:t>収益の認識</w:t>
            </w:r>
          </w:p>
        </w:tc>
        <w:tc>
          <w:tcPr>
            <w:tcW w:type="dxa" w:w="3685"/>
          </w:tcPr>
          <w:p>
            <w:r>
              <w:rPr>
                <w:rFonts w:ascii="Yu Gothic" w:hAnsi="Yu Gothic" w:eastAsia="Yu Gothic"/>
                <w:b w:val="0"/>
                <w:sz w:val="17"/>
              </w:rPr>
              <w:t>製品の販売は出荷基準（輸出は貿易条件に基づく危険負担の移転時）</w:t>
            </w:r>
          </w:p>
        </w:tc>
        <w:tc>
          <w:tcPr>
            <w:tcW w:type="dxa" w:w="3118"/>
          </w:tcPr>
          <w:p>
            <w:r>
              <w:rPr>
                <w:rFonts w:ascii="Yu Gothic" w:hAnsi="Yu Gothic" w:eastAsia="Yu Gothic"/>
                <w:b w:val="0"/>
                <w:sz w:val="17"/>
              </w:rPr>
              <w:t>DATRは商社取引について総額／純額の判定に留意（代理人取引は純額）</w:t>
            </w:r>
          </w:p>
        </w:tc>
      </w:tr>
      <w:tr>
        <w:tc>
          <w:tcPr>
            <w:tcW w:type="dxa" w:w="567"/>
          </w:tcPr>
          <w:p>
            <w:r>
              <w:rPr>
                <w:rFonts w:ascii="Yu Gothic" w:hAnsi="Yu Gothic" w:eastAsia="Yu Gothic"/>
                <w:b w:val="0"/>
                <w:sz w:val="17"/>
              </w:rPr>
              <w:t>3</w:t>
            </w:r>
          </w:p>
        </w:tc>
        <w:tc>
          <w:tcPr>
            <w:tcW w:type="dxa" w:w="1701"/>
          </w:tcPr>
          <w:p>
            <w:r>
              <w:rPr>
                <w:rFonts w:ascii="Yu Gothic" w:hAnsi="Yu Gothic" w:eastAsia="Yu Gothic"/>
                <w:b w:val="0"/>
                <w:sz w:val="17"/>
              </w:rPr>
              <w:t>棚卸資産の評価基準</w:t>
            </w:r>
          </w:p>
        </w:tc>
        <w:tc>
          <w:tcPr>
            <w:tcW w:type="dxa" w:w="3685"/>
          </w:tcPr>
          <w:p>
            <w:r>
              <w:rPr>
                <w:rFonts w:ascii="Yu Gothic" w:hAnsi="Yu Gothic" w:eastAsia="Yu Gothic"/>
                <w:b w:val="0"/>
                <w:sz w:val="17"/>
              </w:rPr>
              <w:t>原価法（収益性の低下による簿価切下げの方法）</w:t>
            </w:r>
          </w:p>
        </w:tc>
        <w:tc>
          <w:tcPr>
            <w:tcW w:type="dxa" w:w="3118"/>
          </w:tcPr>
          <w:p>
            <w:r>
              <w:rPr>
                <w:rFonts w:ascii="Yu Gothic" w:hAnsi="Yu Gothic" w:eastAsia="Yu Gothic"/>
                <w:b w:val="0"/>
                <w:sz w:val="17"/>
              </w:rPr>
              <w:t>―</w:t>
            </w:r>
          </w:p>
        </w:tc>
      </w:tr>
      <w:tr>
        <w:tc>
          <w:tcPr>
            <w:tcW w:type="dxa" w:w="567"/>
          </w:tcPr>
          <w:p>
            <w:r>
              <w:rPr>
                <w:rFonts w:ascii="Yu Gothic" w:hAnsi="Yu Gothic" w:eastAsia="Yu Gothic"/>
                <w:b w:val="0"/>
                <w:sz w:val="17"/>
              </w:rPr>
              <w:t>4</w:t>
            </w:r>
          </w:p>
        </w:tc>
        <w:tc>
          <w:tcPr>
            <w:tcW w:type="dxa" w:w="1701"/>
          </w:tcPr>
          <w:p>
            <w:r>
              <w:rPr>
                <w:rFonts w:ascii="Yu Gothic" w:hAnsi="Yu Gothic" w:eastAsia="Yu Gothic"/>
                <w:b w:val="0"/>
                <w:sz w:val="17"/>
              </w:rPr>
              <w:t>棚卸資産の評価方法</w:t>
            </w:r>
          </w:p>
        </w:tc>
        <w:tc>
          <w:tcPr>
            <w:tcW w:type="dxa" w:w="3685"/>
          </w:tcPr>
          <w:p>
            <w:r>
              <w:rPr>
                <w:rFonts w:ascii="Yu Gothic" w:hAnsi="Yu Gothic" w:eastAsia="Yu Gothic"/>
                <w:b w:val="0"/>
                <w:sz w:val="17"/>
              </w:rPr>
              <w:t>原材料：移動平均法／仕掛品・製品：総平均法（標準原価＋原価差異調整）／貯蔵品：最終仕入原価法</w:t>
            </w:r>
          </w:p>
        </w:tc>
        <w:tc>
          <w:tcPr>
            <w:tcW w:type="dxa" w:w="3118"/>
          </w:tcPr>
          <w:p>
            <w:r>
              <w:rPr>
                <w:rFonts w:ascii="Yu Gothic" w:hAnsi="Yu Gothic" w:eastAsia="Yu Gothic"/>
                <w:b w:val="0"/>
                <w:sz w:val="17"/>
              </w:rPr>
              <w:t>DA-TBは親会社と同一の標準原価体系を用いる</w:t>
            </w:r>
          </w:p>
        </w:tc>
      </w:tr>
      <w:tr>
        <w:tc>
          <w:tcPr>
            <w:tcW w:type="dxa" w:w="567"/>
          </w:tcPr>
          <w:p>
            <w:r>
              <w:rPr>
                <w:rFonts w:ascii="Yu Gothic" w:hAnsi="Yu Gothic" w:eastAsia="Yu Gothic"/>
                <w:b w:val="0"/>
                <w:sz w:val="17"/>
              </w:rPr>
              <w:t>5</w:t>
            </w:r>
          </w:p>
        </w:tc>
        <w:tc>
          <w:tcPr>
            <w:tcW w:type="dxa" w:w="1701"/>
          </w:tcPr>
          <w:p>
            <w:r>
              <w:rPr>
                <w:rFonts w:ascii="Yu Gothic" w:hAnsi="Yu Gothic" w:eastAsia="Yu Gothic"/>
                <w:b w:val="0"/>
                <w:sz w:val="17"/>
              </w:rPr>
              <w:t>滞留在庫の評価減</w:t>
            </w:r>
          </w:p>
        </w:tc>
        <w:tc>
          <w:tcPr>
            <w:tcW w:type="dxa" w:w="3685"/>
          </w:tcPr>
          <w:p>
            <w:r>
              <w:rPr>
                <w:rFonts w:ascii="Yu Gothic" w:hAnsi="Yu Gothic" w:eastAsia="Yu Gothic"/>
                <w:b w:val="0"/>
                <w:sz w:val="17"/>
              </w:rPr>
              <w:t>回転期間に基づき判定し、規則的に簿価を切り下げる</w:t>
            </w:r>
          </w:p>
        </w:tc>
        <w:tc>
          <w:tcPr>
            <w:tcW w:type="dxa" w:w="3118"/>
          </w:tcPr>
          <w:p>
            <w:r>
              <w:rPr>
                <w:rFonts w:ascii="Yu Gothic" w:hAnsi="Yu Gothic" w:eastAsia="Yu Gothic"/>
                <w:b w:val="0"/>
                <w:sz w:val="17"/>
              </w:rPr>
              <w:t>★判定基準（回転期間の閾値）を定めた要領が未整備。当面は親会社経理部の指示による</w:t>
            </w:r>
          </w:p>
        </w:tc>
      </w:tr>
      <w:tr>
        <w:tc>
          <w:tcPr>
            <w:tcW w:type="dxa" w:w="567"/>
          </w:tcPr>
          <w:p>
            <w:r>
              <w:rPr>
                <w:rFonts w:ascii="Yu Gothic" w:hAnsi="Yu Gothic" w:eastAsia="Yu Gothic"/>
                <w:b w:val="0"/>
                <w:sz w:val="17"/>
              </w:rPr>
              <w:t>6</w:t>
            </w:r>
          </w:p>
        </w:tc>
        <w:tc>
          <w:tcPr>
            <w:tcW w:type="dxa" w:w="1701"/>
          </w:tcPr>
          <w:p>
            <w:r>
              <w:rPr>
                <w:rFonts w:ascii="Yu Gothic" w:hAnsi="Yu Gothic" w:eastAsia="Yu Gothic"/>
                <w:b w:val="0"/>
                <w:sz w:val="17"/>
              </w:rPr>
              <w:t>有形固定資産の減価償却</w:t>
            </w:r>
          </w:p>
        </w:tc>
        <w:tc>
          <w:tcPr>
            <w:tcW w:type="dxa" w:w="3685"/>
          </w:tcPr>
          <w:p>
            <w:r>
              <w:rPr>
                <w:rFonts w:ascii="Yu Gothic" w:hAnsi="Yu Gothic" w:eastAsia="Yu Gothic"/>
                <w:b w:val="0"/>
                <w:sz w:val="17"/>
              </w:rPr>
              <w:t>建物・建物附属設備：定額法／その他：定率法。耐用年数は日本の法定耐用年数</w:t>
            </w:r>
          </w:p>
        </w:tc>
        <w:tc>
          <w:tcPr>
            <w:tcW w:type="dxa" w:w="3118"/>
          </w:tcPr>
          <w:p>
            <w:r>
              <w:rPr>
                <w:rFonts w:ascii="Yu Gothic" w:hAnsi="Yu Gothic" w:eastAsia="Yu Gothic"/>
                <w:b w:val="0"/>
                <w:sz w:val="17"/>
              </w:rPr>
              <w:t>DATはタイの税法上の耐用年数と異なる場合、連結報告用に調整する</w:t>
            </w:r>
          </w:p>
        </w:tc>
      </w:tr>
      <w:tr>
        <w:tc>
          <w:tcPr>
            <w:tcW w:type="dxa" w:w="567"/>
          </w:tcPr>
          <w:p>
            <w:r>
              <w:rPr>
                <w:rFonts w:ascii="Yu Gothic" w:hAnsi="Yu Gothic" w:eastAsia="Yu Gothic"/>
                <w:b w:val="0"/>
                <w:sz w:val="17"/>
              </w:rPr>
              <w:t>7</w:t>
            </w:r>
          </w:p>
        </w:tc>
        <w:tc>
          <w:tcPr>
            <w:tcW w:type="dxa" w:w="1701"/>
          </w:tcPr>
          <w:p>
            <w:r>
              <w:rPr>
                <w:rFonts w:ascii="Yu Gothic" w:hAnsi="Yu Gothic" w:eastAsia="Yu Gothic"/>
                <w:b w:val="0"/>
                <w:sz w:val="17"/>
              </w:rPr>
              <w:t>少額減価償却資産</w:t>
            </w:r>
          </w:p>
        </w:tc>
        <w:tc>
          <w:tcPr>
            <w:tcW w:type="dxa" w:w="3685"/>
          </w:tcPr>
          <w:p>
            <w:r>
              <w:rPr>
                <w:rFonts w:ascii="Yu Gothic" w:hAnsi="Yu Gothic" w:eastAsia="Yu Gothic"/>
                <w:b w:val="0"/>
                <w:sz w:val="17"/>
              </w:rPr>
              <w:t>取得価額100千円未満は取得時に費用処理</w:t>
            </w:r>
          </w:p>
        </w:tc>
        <w:tc>
          <w:tcPr>
            <w:tcW w:type="dxa" w:w="3118"/>
          </w:tcPr>
          <w:p>
            <w:r>
              <w:rPr>
                <w:rFonts w:ascii="Yu Gothic" w:hAnsi="Yu Gothic" w:eastAsia="Yu Gothic"/>
                <w:b w:val="0"/>
                <w:sz w:val="17"/>
              </w:rPr>
              <w:t>DATは円換算後の金額で判定する</w:t>
            </w:r>
          </w:p>
        </w:tc>
      </w:tr>
      <w:tr>
        <w:tc>
          <w:tcPr>
            <w:tcW w:type="dxa" w:w="567"/>
          </w:tcPr>
          <w:p>
            <w:r>
              <w:rPr>
                <w:rFonts w:ascii="Yu Gothic" w:hAnsi="Yu Gothic" w:eastAsia="Yu Gothic"/>
                <w:b w:val="0"/>
                <w:sz w:val="17"/>
              </w:rPr>
              <w:t>8</w:t>
            </w:r>
          </w:p>
        </w:tc>
        <w:tc>
          <w:tcPr>
            <w:tcW w:type="dxa" w:w="1701"/>
          </w:tcPr>
          <w:p>
            <w:r>
              <w:rPr>
                <w:rFonts w:ascii="Yu Gothic" w:hAnsi="Yu Gothic" w:eastAsia="Yu Gothic"/>
                <w:b w:val="0"/>
                <w:sz w:val="17"/>
              </w:rPr>
              <w:t>のれんの償却</w:t>
            </w:r>
          </w:p>
        </w:tc>
        <w:tc>
          <w:tcPr>
            <w:tcW w:type="dxa" w:w="3685"/>
          </w:tcPr>
          <w:p>
            <w:r>
              <w:rPr>
                <w:rFonts w:ascii="Yu Gothic" w:hAnsi="Yu Gothic" w:eastAsia="Yu Gothic"/>
                <w:b w:val="0"/>
                <w:sz w:val="17"/>
              </w:rPr>
              <w:t>効果の及ぶ期間（10年）にわたる定額法</w:t>
            </w:r>
          </w:p>
        </w:tc>
        <w:tc>
          <w:tcPr>
            <w:tcW w:type="dxa" w:w="3118"/>
          </w:tcPr>
          <w:p>
            <w:r>
              <w:rPr>
                <w:rFonts w:ascii="Yu Gothic" w:hAnsi="Yu Gothic" w:eastAsia="Yu Gothic"/>
                <w:b w:val="0"/>
                <w:sz w:val="17"/>
              </w:rPr>
              <w:t>―</w:t>
            </w:r>
          </w:p>
        </w:tc>
      </w:tr>
      <w:tr>
        <w:tc>
          <w:tcPr>
            <w:tcW w:type="dxa" w:w="567"/>
          </w:tcPr>
          <w:p>
            <w:r>
              <w:rPr>
                <w:rFonts w:ascii="Yu Gothic" w:hAnsi="Yu Gothic" w:eastAsia="Yu Gothic"/>
                <w:b w:val="0"/>
                <w:sz w:val="17"/>
              </w:rPr>
              <w:t>9</w:t>
            </w:r>
          </w:p>
        </w:tc>
        <w:tc>
          <w:tcPr>
            <w:tcW w:type="dxa" w:w="1701"/>
          </w:tcPr>
          <w:p>
            <w:r>
              <w:rPr>
                <w:rFonts w:ascii="Yu Gothic" w:hAnsi="Yu Gothic" w:eastAsia="Yu Gothic"/>
                <w:b w:val="0"/>
                <w:sz w:val="17"/>
              </w:rPr>
              <w:t>貸倒引当金</w:t>
            </w:r>
          </w:p>
        </w:tc>
        <w:tc>
          <w:tcPr>
            <w:tcW w:type="dxa" w:w="3685"/>
          </w:tcPr>
          <w:p>
            <w:r>
              <w:rPr>
                <w:rFonts w:ascii="Yu Gothic" w:hAnsi="Yu Gothic" w:eastAsia="Yu Gothic"/>
                <w:b w:val="0"/>
                <w:sz w:val="17"/>
              </w:rPr>
              <w:t>一般債権は貸倒実績率法、貸倒懸念債権等は個別に回収可能性を勘案</w:t>
            </w:r>
          </w:p>
        </w:tc>
        <w:tc>
          <w:tcPr>
            <w:tcW w:type="dxa" w:w="3118"/>
          </w:tcPr>
          <w:p>
            <w:r>
              <w:rPr>
                <w:rFonts w:ascii="Yu Gothic" w:hAnsi="Yu Gothic" w:eastAsia="Yu Gothic"/>
                <w:b w:val="0"/>
                <w:sz w:val="17"/>
              </w:rPr>
              <w:t>実績率はグループ各社の実績に基づき各社で算定。算定根拠を親会社へ提出する</w:t>
            </w:r>
          </w:p>
        </w:tc>
      </w:tr>
      <w:tr>
        <w:tc>
          <w:tcPr>
            <w:tcW w:type="dxa" w:w="567"/>
          </w:tcPr>
          <w:p>
            <w:r>
              <w:rPr>
                <w:rFonts w:ascii="Yu Gothic" w:hAnsi="Yu Gothic" w:eastAsia="Yu Gothic"/>
                <w:b w:val="0"/>
                <w:sz w:val="17"/>
              </w:rPr>
              <w:t>10</w:t>
            </w:r>
          </w:p>
        </w:tc>
        <w:tc>
          <w:tcPr>
            <w:tcW w:type="dxa" w:w="1701"/>
          </w:tcPr>
          <w:p>
            <w:r>
              <w:rPr>
                <w:rFonts w:ascii="Yu Gothic" w:hAnsi="Yu Gothic" w:eastAsia="Yu Gothic"/>
                <w:b w:val="0"/>
                <w:sz w:val="17"/>
              </w:rPr>
              <w:t>賞与引当金</w:t>
            </w:r>
          </w:p>
        </w:tc>
        <w:tc>
          <w:tcPr>
            <w:tcW w:type="dxa" w:w="3685"/>
          </w:tcPr>
          <w:p>
            <w:r>
              <w:rPr>
                <w:rFonts w:ascii="Yu Gothic" w:hAnsi="Yu Gothic" w:eastAsia="Yu Gothic"/>
                <w:b w:val="0"/>
                <w:sz w:val="17"/>
              </w:rPr>
              <w:t>支給見込額のうち当期に負担すべき額</w:t>
            </w:r>
          </w:p>
        </w:tc>
        <w:tc>
          <w:tcPr>
            <w:tcW w:type="dxa" w:w="3118"/>
          </w:tcPr>
          <w:p>
            <w:r>
              <w:rPr>
                <w:rFonts w:ascii="Yu Gothic" w:hAnsi="Yu Gothic" w:eastAsia="Yu Gothic"/>
                <w:b w:val="0"/>
                <w:sz w:val="17"/>
              </w:rPr>
              <w:t>―</w:t>
            </w:r>
          </w:p>
        </w:tc>
      </w:tr>
      <w:tr>
        <w:tc>
          <w:tcPr>
            <w:tcW w:type="dxa" w:w="567"/>
          </w:tcPr>
          <w:p>
            <w:r>
              <w:rPr>
                <w:rFonts w:ascii="Yu Gothic" w:hAnsi="Yu Gothic" w:eastAsia="Yu Gothic"/>
                <w:b w:val="0"/>
                <w:sz w:val="17"/>
              </w:rPr>
              <w:t>11</w:t>
            </w:r>
          </w:p>
        </w:tc>
        <w:tc>
          <w:tcPr>
            <w:tcW w:type="dxa" w:w="1701"/>
          </w:tcPr>
          <w:p>
            <w:r>
              <w:rPr>
                <w:rFonts w:ascii="Yu Gothic" w:hAnsi="Yu Gothic" w:eastAsia="Yu Gothic"/>
                <w:b w:val="0"/>
                <w:sz w:val="17"/>
              </w:rPr>
              <w:t>退職給付</w:t>
            </w:r>
          </w:p>
        </w:tc>
        <w:tc>
          <w:tcPr>
            <w:tcW w:type="dxa" w:w="3685"/>
          </w:tcPr>
          <w:p>
            <w:r>
              <w:rPr>
                <w:rFonts w:ascii="Yu Gothic" w:hAnsi="Yu Gothic" w:eastAsia="Yu Gothic"/>
                <w:b w:val="0"/>
                <w:sz w:val="17"/>
              </w:rPr>
              <w:t>退職給付債務から年金資産を控除した額。簡便法は適用しない</w:t>
            </w:r>
          </w:p>
        </w:tc>
        <w:tc>
          <w:tcPr>
            <w:tcW w:type="dxa" w:w="3118"/>
          </w:tcPr>
          <w:p>
            <w:r>
              <w:rPr>
                <w:rFonts w:ascii="Yu Gothic" w:hAnsi="Yu Gothic" w:eastAsia="Yu Gothic"/>
                <w:b w:val="0"/>
                <w:sz w:val="17"/>
              </w:rPr>
              <w:t>従業員300名未満の子会社も原則法による。DATは現地の退職金制度に基づき算定</w:t>
            </w:r>
          </w:p>
        </w:tc>
      </w:tr>
      <w:tr>
        <w:tc>
          <w:tcPr>
            <w:tcW w:type="dxa" w:w="567"/>
          </w:tcPr>
          <w:p>
            <w:r>
              <w:rPr>
                <w:rFonts w:ascii="Yu Gothic" w:hAnsi="Yu Gothic" w:eastAsia="Yu Gothic"/>
                <w:b w:val="0"/>
                <w:sz w:val="17"/>
              </w:rPr>
              <w:t>12</w:t>
            </w:r>
          </w:p>
        </w:tc>
        <w:tc>
          <w:tcPr>
            <w:tcW w:type="dxa" w:w="1701"/>
          </w:tcPr>
          <w:p>
            <w:r>
              <w:rPr>
                <w:rFonts w:ascii="Yu Gothic" w:hAnsi="Yu Gothic" w:eastAsia="Yu Gothic"/>
                <w:b w:val="0"/>
                <w:sz w:val="17"/>
              </w:rPr>
              <w:t>製品保証引当金</w:t>
            </w:r>
          </w:p>
        </w:tc>
        <w:tc>
          <w:tcPr>
            <w:tcW w:type="dxa" w:w="3685"/>
          </w:tcPr>
          <w:p>
            <w:r>
              <w:rPr>
                <w:rFonts w:ascii="Yu Gothic" w:hAnsi="Yu Gothic" w:eastAsia="Yu Gothic"/>
                <w:b w:val="0"/>
                <w:sz w:val="17"/>
              </w:rPr>
              <w:t>過去の保証費用の実績率を売上高に乗じて算定</w:t>
            </w:r>
          </w:p>
        </w:tc>
        <w:tc>
          <w:tcPr>
            <w:tcW w:type="dxa" w:w="3118"/>
          </w:tcPr>
          <w:p>
            <w:r>
              <w:rPr>
                <w:rFonts w:ascii="Yu Gothic" w:hAnsi="Yu Gothic" w:eastAsia="Yu Gothic"/>
                <w:b w:val="0"/>
                <w:sz w:val="17"/>
              </w:rPr>
              <w:t>―</w:t>
            </w:r>
          </w:p>
        </w:tc>
      </w:tr>
      <w:tr>
        <w:tc>
          <w:tcPr>
            <w:tcW w:type="dxa" w:w="567"/>
          </w:tcPr>
          <w:p>
            <w:r>
              <w:rPr>
                <w:rFonts w:ascii="Yu Gothic" w:hAnsi="Yu Gothic" w:eastAsia="Yu Gothic"/>
                <w:b w:val="0"/>
                <w:sz w:val="17"/>
              </w:rPr>
              <w:t>13</w:t>
            </w:r>
          </w:p>
        </w:tc>
        <w:tc>
          <w:tcPr>
            <w:tcW w:type="dxa" w:w="1701"/>
          </w:tcPr>
          <w:p>
            <w:r>
              <w:rPr>
                <w:rFonts w:ascii="Yu Gothic" w:hAnsi="Yu Gothic" w:eastAsia="Yu Gothic"/>
                <w:b w:val="0"/>
                <w:sz w:val="17"/>
              </w:rPr>
              <w:t>資産除去債務</w:t>
            </w:r>
          </w:p>
        </w:tc>
        <w:tc>
          <w:tcPr>
            <w:tcW w:type="dxa" w:w="3685"/>
          </w:tcPr>
          <w:p>
            <w:r>
              <w:rPr>
                <w:rFonts w:ascii="Yu Gothic" w:hAnsi="Yu Gothic" w:eastAsia="Yu Gothic"/>
                <w:b w:val="0"/>
                <w:sz w:val="17"/>
              </w:rPr>
              <w:t>除去に係る法的義務がある場合、割引現在価値により算定</w:t>
            </w:r>
          </w:p>
        </w:tc>
        <w:tc>
          <w:tcPr>
            <w:tcW w:type="dxa" w:w="3118"/>
          </w:tcPr>
          <w:p>
            <w:r>
              <w:rPr>
                <w:rFonts w:ascii="Yu Gothic" w:hAnsi="Yu Gothic" w:eastAsia="Yu Gothic"/>
                <w:b w:val="0"/>
                <w:sz w:val="17"/>
              </w:rPr>
              <w:t>DATは賃借工場の原状回復義務に留意</w:t>
            </w:r>
          </w:p>
        </w:tc>
      </w:tr>
      <w:tr>
        <w:tc>
          <w:tcPr>
            <w:tcW w:type="dxa" w:w="567"/>
          </w:tcPr>
          <w:p>
            <w:r>
              <w:rPr>
                <w:rFonts w:ascii="Yu Gothic" w:hAnsi="Yu Gothic" w:eastAsia="Yu Gothic"/>
                <w:b w:val="0"/>
                <w:sz w:val="17"/>
              </w:rPr>
              <w:t>14</w:t>
            </w:r>
          </w:p>
        </w:tc>
        <w:tc>
          <w:tcPr>
            <w:tcW w:type="dxa" w:w="1701"/>
          </w:tcPr>
          <w:p>
            <w:r>
              <w:rPr>
                <w:rFonts w:ascii="Yu Gothic" w:hAnsi="Yu Gothic" w:eastAsia="Yu Gothic"/>
                <w:b w:val="0"/>
                <w:sz w:val="17"/>
              </w:rPr>
              <w:t>固定資産の減損</w:t>
            </w:r>
          </w:p>
        </w:tc>
        <w:tc>
          <w:tcPr>
            <w:tcW w:type="dxa" w:w="3685"/>
          </w:tcPr>
          <w:p>
            <w:r>
              <w:rPr>
                <w:rFonts w:ascii="Yu Gothic" w:hAnsi="Yu Gothic" w:eastAsia="Yu Gothic"/>
                <w:b w:val="0"/>
                <w:sz w:val="17"/>
              </w:rPr>
              <w:t>工場単位でグルーピング。兆候の判定は四半期ごと</w:t>
            </w:r>
          </w:p>
        </w:tc>
        <w:tc>
          <w:tcPr>
            <w:tcW w:type="dxa" w:w="3118"/>
          </w:tcPr>
          <w:p>
            <w:r>
              <w:rPr>
                <w:rFonts w:ascii="Yu Gothic" w:hAnsi="Yu Gothic" w:eastAsia="Yu Gothic"/>
                <w:b w:val="0"/>
                <w:sz w:val="17"/>
              </w:rPr>
              <w:t>兆候判定シート（F-17）を用いて親会社へ報告する</w:t>
            </w:r>
          </w:p>
        </w:tc>
      </w:tr>
      <w:tr>
        <w:tc>
          <w:tcPr>
            <w:tcW w:type="dxa" w:w="567"/>
          </w:tcPr>
          <w:p>
            <w:r>
              <w:rPr>
                <w:rFonts w:ascii="Yu Gothic" w:hAnsi="Yu Gothic" w:eastAsia="Yu Gothic"/>
                <w:b w:val="0"/>
                <w:sz w:val="17"/>
              </w:rPr>
              <w:t>15</w:t>
            </w:r>
          </w:p>
        </w:tc>
        <w:tc>
          <w:tcPr>
            <w:tcW w:type="dxa" w:w="1701"/>
          </w:tcPr>
          <w:p>
            <w:r>
              <w:rPr>
                <w:rFonts w:ascii="Yu Gothic" w:hAnsi="Yu Gothic" w:eastAsia="Yu Gothic"/>
                <w:b w:val="0"/>
                <w:sz w:val="17"/>
              </w:rPr>
              <w:t>税効果会計</w:t>
            </w:r>
          </w:p>
        </w:tc>
        <w:tc>
          <w:tcPr>
            <w:tcW w:type="dxa" w:w="3685"/>
          </w:tcPr>
          <w:p>
            <w:r>
              <w:rPr>
                <w:rFonts w:ascii="Yu Gothic" w:hAnsi="Yu Gothic" w:eastAsia="Yu Gothic"/>
                <w:b w:val="0"/>
                <w:sz w:val="17"/>
              </w:rPr>
              <w:t>企業分類に基づく回収可能性の判定</w:t>
            </w:r>
          </w:p>
        </w:tc>
        <w:tc>
          <w:tcPr>
            <w:tcW w:type="dxa" w:w="3118"/>
          </w:tcPr>
          <w:p>
            <w:r>
              <w:rPr>
                <w:rFonts w:ascii="Yu Gothic" w:hAnsi="Yu Gothic" w:eastAsia="Yu Gothic"/>
                <w:b w:val="0"/>
                <w:sz w:val="17"/>
              </w:rPr>
              <w:t>DATは現地税制に基づき算定のうえ報告</w:t>
            </w:r>
          </w:p>
        </w:tc>
      </w:tr>
      <w:tr>
        <w:tc>
          <w:tcPr>
            <w:tcW w:type="dxa" w:w="567"/>
          </w:tcPr>
          <w:p>
            <w:r>
              <w:rPr>
                <w:rFonts w:ascii="Yu Gothic" w:hAnsi="Yu Gothic" w:eastAsia="Yu Gothic"/>
                <w:b w:val="0"/>
                <w:sz w:val="17"/>
              </w:rPr>
              <w:t>16</w:t>
            </w:r>
          </w:p>
        </w:tc>
        <w:tc>
          <w:tcPr>
            <w:tcW w:type="dxa" w:w="1701"/>
          </w:tcPr>
          <w:p>
            <w:r>
              <w:rPr>
                <w:rFonts w:ascii="Yu Gothic" w:hAnsi="Yu Gothic" w:eastAsia="Yu Gothic"/>
                <w:b w:val="0"/>
                <w:sz w:val="17"/>
              </w:rPr>
              <w:t>外貨建取引</w:t>
            </w:r>
          </w:p>
        </w:tc>
        <w:tc>
          <w:tcPr>
            <w:tcW w:type="dxa" w:w="3685"/>
          </w:tcPr>
          <w:p>
            <w:r>
              <w:rPr>
                <w:rFonts w:ascii="Yu Gothic" w:hAnsi="Yu Gothic" w:eastAsia="Yu Gothic"/>
                <w:b w:val="0"/>
                <w:sz w:val="17"/>
              </w:rPr>
              <w:t>取引発生時の為替相場により換算。決算日の金銭債権債務は決算日レートで換算</w:t>
            </w:r>
          </w:p>
        </w:tc>
        <w:tc>
          <w:tcPr>
            <w:tcW w:type="dxa" w:w="3118"/>
          </w:tcPr>
          <w:p>
            <w:r>
              <w:rPr>
                <w:rFonts w:ascii="Yu Gothic" w:hAnsi="Yu Gothic" w:eastAsia="Yu Gothic"/>
                <w:b w:val="0"/>
                <w:sz w:val="17"/>
              </w:rPr>
              <w:t>DATの円建て・USD建て取引に留意</w:t>
            </w:r>
          </w:p>
        </w:tc>
      </w:tr>
      <w:tr>
        <w:tc>
          <w:tcPr>
            <w:tcW w:type="dxa" w:w="567"/>
          </w:tcPr>
          <w:p>
            <w:r>
              <w:rPr>
                <w:rFonts w:ascii="Yu Gothic" w:hAnsi="Yu Gothic" w:eastAsia="Yu Gothic"/>
                <w:b w:val="0"/>
                <w:sz w:val="17"/>
              </w:rPr>
              <w:t>17</w:t>
            </w:r>
          </w:p>
        </w:tc>
        <w:tc>
          <w:tcPr>
            <w:tcW w:type="dxa" w:w="1701"/>
          </w:tcPr>
          <w:p>
            <w:r>
              <w:rPr>
                <w:rFonts w:ascii="Yu Gothic" w:hAnsi="Yu Gothic" w:eastAsia="Yu Gothic"/>
                <w:b w:val="0"/>
                <w:sz w:val="17"/>
              </w:rPr>
              <w:t>リース取引</w:t>
            </w:r>
          </w:p>
        </w:tc>
        <w:tc>
          <w:tcPr>
            <w:tcW w:type="dxa" w:w="3685"/>
          </w:tcPr>
          <w:p>
            <w:r>
              <w:rPr>
                <w:rFonts w:ascii="Yu Gothic" w:hAnsi="Yu Gothic" w:eastAsia="Yu Gothic"/>
                <w:b w:val="0"/>
                <w:sz w:val="17"/>
              </w:rPr>
              <w:t>所有権移転外ファイナンス・リースは通常の売買取引に係る方法に準じて処理</w:t>
            </w:r>
          </w:p>
        </w:tc>
        <w:tc>
          <w:tcPr>
            <w:tcW w:type="dxa" w:w="3118"/>
          </w:tcPr>
          <w:p>
            <w:r>
              <w:rPr>
                <w:rFonts w:ascii="Yu Gothic" w:hAnsi="Yu Gothic" w:eastAsia="Yu Gothic"/>
                <w:b w:val="0"/>
                <w:sz w:val="17"/>
              </w:rPr>
              <w:t>★新リース基準（FY2027適用）への対応は別途通知する</w:t>
            </w:r>
          </w:p>
        </w:tc>
      </w:tr>
      <w:tr>
        <w:tc>
          <w:tcPr>
            <w:tcW w:type="dxa" w:w="567"/>
          </w:tcPr>
          <w:p>
            <w:r>
              <w:rPr>
                <w:rFonts w:ascii="Yu Gothic" w:hAnsi="Yu Gothic" w:eastAsia="Yu Gothic"/>
                <w:b w:val="0"/>
                <w:sz w:val="17"/>
              </w:rPr>
              <w:t>18</w:t>
            </w:r>
          </w:p>
        </w:tc>
        <w:tc>
          <w:tcPr>
            <w:tcW w:type="dxa" w:w="1701"/>
          </w:tcPr>
          <w:p>
            <w:r>
              <w:rPr>
                <w:rFonts w:ascii="Yu Gothic" w:hAnsi="Yu Gothic" w:eastAsia="Yu Gothic"/>
                <w:b w:val="0"/>
                <w:sz w:val="17"/>
              </w:rPr>
              <w:t>研究開発費</w:t>
            </w:r>
          </w:p>
        </w:tc>
        <w:tc>
          <w:tcPr>
            <w:tcW w:type="dxa" w:w="3685"/>
          </w:tcPr>
          <w:p>
            <w:r>
              <w:rPr>
                <w:rFonts w:ascii="Yu Gothic" w:hAnsi="Yu Gothic" w:eastAsia="Yu Gothic"/>
                <w:b w:val="0"/>
                <w:sz w:val="17"/>
              </w:rPr>
              <w:t>発生時に費用処理</w:t>
            </w:r>
          </w:p>
        </w:tc>
        <w:tc>
          <w:tcPr>
            <w:tcW w:type="dxa" w:w="3118"/>
          </w:tcPr>
          <w:p>
            <w:r>
              <w:rPr>
                <w:rFonts w:ascii="Yu Gothic" w:hAnsi="Yu Gothic" w:eastAsia="Yu Gothic"/>
                <w:b w:val="0"/>
                <w:sz w:val="17"/>
              </w:rPr>
              <w:t>―</w:t>
            </w:r>
          </w:p>
        </w:tc>
      </w:tr>
      <w:tr>
        <w:tc>
          <w:tcPr>
            <w:tcW w:type="dxa" w:w="567"/>
          </w:tcPr>
          <w:p>
            <w:r>
              <w:rPr>
                <w:rFonts w:ascii="Yu Gothic" w:hAnsi="Yu Gothic" w:eastAsia="Yu Gothic"/>
                <w:b w:val="0"/>
                <w:sz w:val="17"/>
              </w:rPr>
              <w:t>19</w:t>
            </w:r>
          </w:p>
        </w:tc>
        <w:tc>
          <w:tcPr>
            <w:tcW w:type="dxa" w:w="1701"/>
          </w:tcPr>
          <w:p>
            <w:r>
              <w:rPr>
                <w:rFonts w:ascii="Yu Gothic" w:hAnsi="Yu Gothic" w:eastAsia="Yu Gothic"/>
                <w:b w:val="0"/>
                <w:sz w:val="17"/>
              </w:rPr>
              <w:t>勘定科目</w:t>
            </w:r>
          </w:p>
        </w:tc>
        <w:tc>
          <w:tcPr>
            <w:tcW w:type="dxa" w:w="3685"/>
          </w:tcPr>
          <w:p>
            <w:r>
              <w:rPr>
                <w:rFonts w:ascii="Yu Gothic" w:hAnsi="Yu Gothic" w:eastAsia="Yu Gothic"/>
                <w:b w:val="0"/>
                <w:sz w:val="17"/>
              </w:rPr>
              <w:t>連結科目マスタ（6.consolidation/00_master）にマッピングして報告</w:t>
            </w:r>
          </w:p>
        </w:tc>
        <w:tc>
          <w:tcPr>
            <w:tcW w:type="dxa" w:w="3118"/>
          </w:tcPr>
          <w:p>
            <w:r>
              <w:rPr>
                <w:rFonts w:ascii="Yu Gothic" w:hAnsi="Yu Gothic" w:eastAsia="Yu Gothic"/>
                <w:b w:val="0"/>
                <w:sz w:val="17"/>
              </w:rPr>
              <w:t>自社の勘定科目と連結科目の対応表を作成し、親会社へ提出する</w:t>
            </w:r>
          </w:p>
        </w:tc>
      </w:tr>
      <w:tr>
        <w:tc>
          <w:tcPr>
            <w:tcW w:type="dxa" w:w="567"/>
          </w:tcPr>
          <w:p>
            <w:r>
              <w:rPr>
                <w:rFonts w:ascii="Yu Gothic" w:hAnsi="Yu Gothic" w:eastAsia="Yu Gothic"/>
                <w:b w:val="0"/>
                <w:sz w:val="17"/>
              </w:rPr>
              <w:t>20</w:t>
            </w:r>
          </w:p>
        </w:tc>
        <w:tc>
          <w:tcPr>
            <w:tcW w:type="dxa" w:w="1701"/>
          </w:tcPr>
          <w:p>
            <w:r>
              <w:rPr>
                <w:rFonts w:ascii="Yu Gothic" w:hAnsi="Yu Gothic" w:eastAsia="Yu Gothic"/>
                <w:b w:val="0"/>
                <w:sz w:val="17"/>
              </w:rPr>
              <w:t>金額単位</w:t>
            </w:r>
          </w:p>
        </w:tc>
        <w:tc>
          <w:tcPr>
            <w:tcW w:type="dxa" w:w="3685"/>
          </w:tcPr>
          <w:p>
            <w:r>
              <w:rPr>
                <w:rFonts w:ascii="Yu Gothic" w:hAnsi="Yu Gothic" w:eastAsia="Yu Gothic"/>
                <w:b w:val="0"/>
                <w:sz w:val="17"/>
              </w:rPr>
              <w:t>連結報告は千円単位（DATはTHB千単位で報告し、親会社が換算）</w:t>
            </w:r>
          </w:p>
        </w:tc>
        <w:tc>
          <w:tcPr>
            <w:tcW w:type="dxa" w:w="3118"/>
          </w:tcPr>
          <w:p>
            <w:r>
              <w:rPr>
                <w:rFonts w:ascii="Yu Gothic" w:hAnsi="Yu Gothic" w:eastAsia="Yu Gothic"/>
                <w:b w:val="0"/>
                <w:sz w:val="17"/>
              </w:rPr>
              <w:t>端数処理は四捨五入</w:t>
            </w:r>
          </w:p>
        </w:tc>
      </w:tr>
    </w:tbl>
    <w:p/>
    <w:p>
      <w:r>
        <w:rPr>
          <w:rFonts w:ascii="Yu Gothic" w:hAnsi="Yu Gothic" w:eastAsia="Yu Gothic"/>
          <w:b/>
          <w:color w:val="2F5597"/>
          <w:sz w:val="26"/>
        </w:rPr>
        <w:t>3. 会計方針の相違が生じた場合の取扱い</w:t>
      </w:r>
    </w:p>
    <w:tbl>
      <w:tblPr>
        <w:tblStyle w:val="TableGrid"/>
        <w:tblW w:type="auto" w:w="0"/>
        <w:tblLook w:firstColumn="1" w:firstRow="1" w:lastColumn="0" w:lastRow="0" w:noHBand="0" w:noVBand="1" w:val="04A0"/>
      </w:tblPr>
      <w:tblGrid>
        <w:gridCol w:w="3324"/>
        <w:gridCol w:w="3324"/>
        <w:gridCol w:w="3324"/>
      </w:tblGrid>
      <w:tr>
        <w:tc>
          <w:tcPr>
            <w:tcW w:type="dxa" w:w="2835"/>
          </w:tcPr>
          <w:p>
            <w:pPr>
              <w:jc w:val="center"/>
            </w:pPr>
            <w:r>
              <w:rPr>
                <w:rFonts w:ascii="Yu Gothic" w:hAnsi="Yu Gothic" w:eastAsia="Yu Gothic"/>
                <w:b/>
                <w:sz w:val="17"/>
              </w:rPr>
              <w:t>状況</w:t>
            </w:r>
          </w:p>
        </w:tc>
        <w:tc>
          <w:tcPr>
            <w:tcW w:type="dxa" w:w="4252"/>
          </w:tcPr>
          <w:p>
            <w:pPr>
              <w:jc w:val="center"/>
            </w:pPr>
            <w:r>
              <w:rPr>
                <w:rFonts w:ascii="Yu Gothic" w:hAnsi="Yu Gothic" w:eastAsia="Yu Gothic"/>
                <w:b/>
                <w:sz w:val="17"/>
              </w:rPr>
              <w:t>対応</w:t>
            </w:r>
          </w:p>
        </w:tc>
        <w:tc>
          <w:tcPr>
            <w:tcW w:type="dxa" w:w="1984"/>
          </w:tcPr>
          <w:p>
            <w:pPr>
              <w:jc w:val="center"/>
            </w:pPr>
            <w:r>
              <w:rPr>
                <w:rFonts w:ascii="Yu Gothic" w:hAnsi="Yu Gothic" w:eastAsia="Yu Gothic"/>
                <w:b/>
                <w:sz w:val="17"/>
              </w:rPr>
              <w:t>責任</w:t>
            </w:r>
          </w:p>
        </w:tc>
      </w:tr>
      <w:tr>
        <w:tc>
          <w:tcPr>
            <w:tcW w:type="dxa" w:w="2835"/>
          </w:tcPr>
          <w:p>
            <w:r>
              <w:rPr>
                <w:rFonts w:ascii="Yu Gothic" w:hAnsi="Yu Gothic" w:eastAsia="Yu Gothic"/>
                <w:b w:val="0"/>
                <w:sz w:val="17"/>
              </w:rPr>
              <w:t>子会社が本方針書と異なる会計処理を行っていることが判明した</w:t>
            </w:r>
          </w:p>
        </w:tc>
        <w:tc>
          <w:tcPr>
            <w:tcW w:type="dxa" w:w="4252"/>
          </w:tcPr>
          <w:p>
            <w:r>
              <w:rPr>
                <w:rFonts w:ascii="Yu Gothic" w:hAnsi="Yu Gothic" w:eastAsia="Yu Gothic"/>
                <w:b w:val="0"/>
                <w:sz w:val="17"/>
              </w:rPr>
              <w:t>連結上、親会社の会計方針に修正する仕訳（連結修正仕訳）を起票する</w:t>
            </w:r>
          </w:p>
        </w:tc>
        <w:tc>
          <w:tcPr>
            <w:tcW w:type="dxa" w:w="1984"/>
          </w:tcPr>
          <w:p>
            <w:r>
              <w:rPr>
                <w:rFonts w:ascii="Yu Gothic" w:hAnsi="Yu Gothic" w:eastAsia="Yu Gothic"/>
                <w:b w:val="0"/>
                <w:sz w:val="17"/>
              </w:rPr>
              <w:t>親会社経理部</w:t>
            </w:r>
          </w:p>
        </w:tc>
      </w:tr>
      <w:tr>
        <w:tc>
          <w:tcPr>
            <w:tcW w:type="dxa" w:w="2835"/>
          </w:tcPr>
          <w:p>
            <w:r>
              <w:rPr>
                <w:rFonts w:ascii="Yu Gothic" w:hAnsi="Yu Gothic" w:eastAsia="Yu Gothic"/>
                <w:b w:val="0"/>
                <w:sz w:val="17"/>
              </w:rPr>
              <w:t>相違が恒久的である（現地法令等による）</w:t>
            </w:r>
          </w:p>
        </w:tc>
        <w:tc>
          <w:tcPr>
            <w:tcW w:type="dxa" w:w="4252"/>
          </w:tcPr>
          <w:p>
            <w:r>
              <w:rPr>
                <w:rFonts w:ascii="Yu Gothic" w:hAnsi="Yu Gothic" w:eastAsia="Yu Gothic"/>
                <w:b w:val="0"/>
                <w:sz w:val="17"/>
              </w:rPr>
              <w:t>毎期、連結報告時に調整のうえ報告する。調整の内容を連結パッケージの「特記事項」に記載する</w:t>
            </w:r>
          </w:p>
        </w:tc>
        <w:tc>
          <w:tcPr>
            <w:tcW w:type="dxa" w:w="1984"/>
          </w:tcPr>
          <w:p>
            <w:r>
              <w:rPr>
                <w:rFonts w:ascii="Yu Gothic" w:hAnsi="Yu Gothic" w:eastAsia="Yu Gothic"/>
                <w:b w:val="0"/>
                <w:sz w:val="17"/>
              </w:rPr>
              <w:t>子会社</w:t>
            </w:r>
          </w:p>
        </w:tc>
      </w:tr>
      <w:tr>
        <w:tc>
          <w:tcPr>
            <w:tcW w:type="dxa" w:w="2835"/>
          </w:tcPr>
          <w:p>
            <w:r>
              <w:rPr>
                <w:rFonts w:ascii="Yu Gothic" w:hAnsi="Yu Gothic" w:eastAsia="Yu Gothic"/>
                <w:b w:val="0"/>
                <w:sz w:val="17"/>
              </w:rPr>
              <w:t>相違が一時的である（誤り・理解不足による）</w:t>
            </w:r>
          </w:p>
        </w:tc>
        <w:tc>
          <w:tcPr>
            <w:tcW w:type="dxa" w:w="4252"/>
          </w:tcPr>
          <w:p>
            <w:r>
              <w:rPr>
                <w:rFonts w:ascii="Yu Gothic" w:hAnsi="Yu Gothic" w:eastAsia="Yu Gothic"/>
                <w:b w:val="0"/>
                <w:sz w:val="17"/>
              </w:rPr>
              <w:t>子会社に会計処理の変更を求め、次期以降は統一方針に従わせる</w:t>
            </w:r>
          </w:p>
        </w:tc>
        <w:tc>
          <w:tcPr>
            <w:tcW w:type="dxa" w:w="1984"/>
          </w:tcPr>
          <w:p>
            <w:r>
              <w:rPr>
                <w:rFonts w:ascii="Yu Gothic" w:hAnsi="Yu Gothic" w:eastAsia="Yu Gothic"/>
                <w:b w:val="0"/>
                <w:sz w:val="17"/>
              </w:rPr>
              <w:t>子会社・親会社経理部</w:t>
            </w:r>
          </w:p>
        </w:tc>
      </w:tr>
      <w:tr>
        <w:tc>
          <w:tcPr>
            <w:tcW w:type="dxa" w:w="2835"/>
          </w:tcPr>
          <w:p>
            <w:r>
              <w:rPr>
                <w:rFonts w:ascii="Yu Gothic" w:hAnsi="Yu Gothic" w:eastAsia="Yu Gothic"/>
                <w:b w:val="0"/>
                <w:sz w:val="17"/>
              </w:rPr>
              <w:t>新たな取引類型が生じ、統一方針に定めがない</w:t>
            </w:r>
          </w:p>
        </w:tc>
        <w:tc>
          <w:tcPr>
            <w:tcW w:type="dxa" w:w="4252"/>
          </w:tcPr>
          <w:p>
            <w:r>
              <w:rPr>
                <w:rFonts w:ascii="Yu Gothic" w:hAnsi="Yu Gothic" w:eastAsia="Yu Gothic"/>
                <w:b w:val="0"/>
                <w:sz w:val="17"/>
              </w:rPr>
              <w:t>子会社は親会社経理部へ照会し、指示を受ける。必要に応じて本方針書を改訂する</w:t>
            </w:r>
          </w:p>
        </w:tc>
        <w:tc>
          <w:tcPr>
            <w:tcW w:type="dxa" w:w="1984"/>
          </w:tcPr>
          <w:p>
            <w:r>
              <w:rPr>
                <w:rFonts w:ascii="Yu Gothic" w:hAnsi="Yu Gothic" w:eastAsia="Yu Gothic"/>
                <w:b w:val="0"/>
                <w:sz w:val="17"/>
              </w:rPr>
              <w:t>子会社・親会社経理部</w:t>
            </w:r>
          </w:p>
        </w:tc>
      </w:tr>
    </w:tbl>
    <w:p/>
    <w:p>
      <w:r>
        <w:rPr>
          <w:rFonts w:ascii="Yu Gothic" w:hAnsi="Yu Gothic" w:eastAsia="Yu Gothic"/>
          <w:b/>
          <w:color w:val="2F5597"/>
          <w:sz w:val="26"/>
        </w:rPr>
        <w:t>4. 報告及び照会</w:t>
      </w:r>
    </w:p>
    <w:tbl>
      <w:tblPr>
        <w:tblStyle w:val="TableGrid"/>
        <w:tblW w:type="auto" w:w="0"/>
        <w:tblLook w:firstColumn="1" w:firstRow="1" w:lastColumn="0" w:lastRow="0" w:noHBand="0" w:noVBand="1" w:val="04A0"/>
      </w:tblPr>
      <w:tblGrid>
        <w:gridCol w:w="4986"/>
        <w:gridCol w:w="4986"/>
      </w:tblGrid>
      <w:tr>
        <w:tc>
          <w:tcPr>
            <w:tcW w:type="dxa" w:w="2268"/>
          </w:tcPr>
          <w:p>
            <w:pPr>
              <w:jc w:val="center"/>
            </w:pPr>
            <w:r>
              <w:rPr>
                <w:rFonts w:ascii="Yu Gothic" w:hAnsi="Yu Gothic" w:eastAsia="Yu Gothic"/>
                <w:b/>
                <w:sz w:val="17"/>
              </w:rPr>
              <w:t>項目</w:t>
            </w:r>
          </w:p>
        </w:tc>
        <w:tc>
          <w:tcPr>
            <w:tcW w:type="dxa" w:w="6803"/>
          </w:tcPr>
          <w:p>
            <w:pPr>
              <w:jc w:val="center"/>
            </w:pPr>
            <w:r>
              <w:rPr>
                <w:rFonts w:ascii="Yu Gothic" w:hAnsi="Yu Gothic" w:eastAsia="Yu Gothic"/>
                <w:b/>
                <w:sz w:val="17"/>
              </w:rPr>
              <w:t>内容</w:t>
            </w:r>
          </w:p>
        </w:tc>
      </w:tr>
      <w:tr>
        <w:tc>
          <w:tcPr>
            <w:tcW w:type="dxa" w:w="2268"/>
          </w:tcPr>
          <w:p>
            <w:r>
              <w:rPr>
                <w:rFonts w:ascii="Yu Gothic" w:hAnsi="Yu Gothic" w:eastAsia="Yu Gothic"/>
                <w:b w:val="0"/>
                <w:sz w:val="17"/>
              </w:rPr>
              <w:t>定期報告</w:t>
            </w:r>
          </w:p>
        </w:tc>
        <w:tc>
          <w:tcPr>
            <w:tcW w:type="dxa" w:w="6803"/>
          </w:tcPr>
          <w:p>
            <w:r>
              <w:rPr>
                <w:rFonts w:ascii="Yu Gothic" w:hAnsi="Yu Gothic" w:eastAsia="Yu Gothic"/>
                <w:b w:val="0"/>
                <w:sz w:val="17"/>
              </w:rPr>
              <w:t>四半期ごとに連結パッケージにより報告（記入要領：C-07）</w:t>
            </w:r>
          </w:p>
        </w:tc>
      </w:tr>
      <w:tr>
        <w:tc>
          <w:tcPr>
            <w:tcW w:type="dxa" w:w="2268"/>
          </w:tcPr>
          <w:p>
            <w:r>
              <w:rPr>
                <w:rFonts w:ascii="Yu Gothic" w:hAnsi="Yu Gothic" w:eastAsia="Yu Gothic"/>
                <w:b w:val="0"/>
                <w:sz w:val="17"/>
              </w:rPr>
              <w:t>会計処理の照会窓口</w:t>
            </w:r>
          </w:p>
        </w:tc>
        <w:tc>
          <w:tcPr>
            <w:tcW w:type="dxa" w:w="6803"/>
          </w:tcPr>
          <w:p>
            <w:r>
              <w:rPr>
                <w:rFonts w:ascii="Yu Gothic" w:hAnsi="Yu Gothic" w:eastAsia="Yu Gothic"/>
                <w:b w:val="0"/>
                <w:sz w:val="17"/>
              </w:rPr>
              <w:t>デモA株式会社 経理部 財務会計課（経理部課長 高橋 美咲 E0012）</w:t>
            </w:r>
          </w:p>
        </w:tc>
      </w:tr>
      <w:tr>
        <w:tc>
          <w:tcPr>
            <w:tcW w:type="dxa" w:w="2268"/>
          </w:tcPr>
          <w:p>
            <w:r>
              <w:rPr>
                <w:rFonts w:ascii="Yu Gothic" w:hAnsi="Yu Gothic" w:eastAsia="Yu Gothic"/>
                <w:b w:val="0"/>
                <w:sz w:val="17"/>
              </w:rPr>
              <w:t>照会の期限</w:t>
            </w:r>
          </w:p>
        </w:tc>
        <w:tc>
          <w:tcPr>
            <w:tcW w:type="dxa" w:w="6803"/>
          </w:tcPr>
          <w:p>
            <w:r>
              <w:rPr>
                <w:rFonts w:ascii="Yu Gothic" w:hAnsi="Yu Gothic" w:eastAsia="Yu Gothic"/>
                <w:b w:val="0"/>
                <w:sz w:val="17"/>
              </w:rPr>
              <w:t>決算日の10営業日前まで。決算直前の照会は対応できない場合がある</w:t>
            </w:r>
          </w:p>
        </w:tc>
      </w:tr>
      <w:tr>
        <w:tc>
          <w:tcPr>
            <w:tcW w:type="dxa" w:w="2268"/>
          </w:tcPr>
          <w:p>
            <w:r>
              <w:rPr>
                <w:rFonts w:ascii="Yu Gothic" w:hAnsi="Yu Gothic" w:eastAsia="Yu Gothic"/>
                <w:b w:val="0"/>
                <w:sz w:val="17"/>
              </w:rPr>
              <w:t>本方針書の改訂通知</w:t>
            </w:r>
          </w:p>
        </w:tc>
        <w:tc>
          <w:tcPr>
            <w:tcW w:type="dxa" w:w="6803"/>
          </w:tcPr>
          <w:p>
            <w:r>
              <w:rPr>
                <w:rFonts w:ascii="Yu Gothic" w:hAnsi="Yu Gothic" w:eastAsia="Yu Gothic"/>
                <w:b w:val="0"/>
                <w:sz w:val="17"/>
              </w:rPr>
              <w:t>改訂の都度、各子会社の経理責任者へ通知。年1回、財務報告連絡会で説明</w:t>
            </w:r>
          </w:p>
        </w:tc>
      </w:tr>
      <w:tr>
        <w:tc>
          <w:tcPr>
            <w:tcW w:type="dxa" w:w="2268"/>
          </w:tcPr>
          <w:p>
            <w:r>
              <w:rPr>
                <w:rFonts w:ascii="Yu Gothic" w:hAnsi="Yu Gothic" w:eastAsia="Yu Gothic"/>
                <w:b w:val="0"/>
                <w:sz w:val="17"/>
              </w:rPr>
              <w:t>説明会</w:t>
            </w:r>
          </w:p>
        </w:tc>
        <w:tc>
          <w:tcPr>
            <w:tcW w:type="dxa" w:w="6803"/>
          </w:tcPr>
          <w:p>
            <w:r>
              <w:rPr>
                <w:rFonts w:ascii="Yu Gothic" w:hAnsi="Yu Gothic" w:eastAsia="Yu Gothic"/>
                <w:b w:val="0"/>
                <w:sz w:val="17"/>
              </w:rPr>
              <w:t>年2回（6月・12月）、子会社向け決算説明会を実施（E-07 年間研修計画 No.12）</w:t>
            </w:r>
          </w:p>
        </w:tc>
      </w:tr>
    </w:tbl>
    <w:p/>
    <w:p>
      <w:r>
        <w:rPr>
          <w:rFonts w:ascii="Yu Gothic" w:hAnsi="Yu Gothic" w:eastAsia="Yu Gothic"/>
          <w:b/>
          <w:color w:val="2F5597"/>
          <w:sz w:val="26"/>
        </w:rPr>
        <w:t>5. 子会社ごとの適用上の留意点</w:t>
      </w:r>
    </w:p>
    <w:tbl>
      <w:tblPr>
        <w:tblStyle w:val="TableGrid"/>
        <w:tblW w:type="auto" w:w="0"/>
        <w:tblLook w:firstColumn="1" w:firstRow="1" w:lastColumn="0" w:lastRow="0" w:noHBand="0" w:noVBand="1" w:val="04A0"/>
      </w:tblPr>
      <w:tblGrid>
        <w:gridCol w:w="4986"/>
        <w:gridCol w:w="4986"/>
      </w:tblGrid>
      <w:tr>
        <w:tc>
          <w:tcPr>
            <w:tcW w:type="dxa" w:w="2551"/>
          </w:tcPr>
          <w:p>
            <w:pPr>
              <w:jc w:val="center"/>
            </w:pPr>
            <w:r>
              <w:rPr>
                <w:rFonts w:ascii="Yu Gothic" w:hAnsi="Yu Gothic" w:eastAsia="Yu Gothic"/>
                <w:b/>
                <w:sz w:val="17"/>
              </w:rPr>
              <w:t>会社</w:t>
            </w:r>
          </w:p>
        </w:tc>
        <w:tc>
          <w:tcPr>
            <w:tcW w:type="dxa" w:w="6520"/>
          </w:tcPr>
          <w:p>
            <w:pPr>
              <w:jc w:val="center"/>
            </w:pPr>
            <w:r>
              <w:rPr>
                <w:rFonts w:ascii="Yu Gothic" w:hAnsi="Yu Gothic" w:eastAsia="Yu Gothic"/>
                <w:b/>
                <w:sz w:val="17"/>
              </w:rPr>
              <w:t>留意点</w:t>
            </w:r>
          </w:p>
        </w:tc>
      </w:tr>
      <w:tr>
        <w:tc>
          <w:tcPr>
            <w:tcW w:type="dxa" w:w="2551"/>
          </w:tcPr>
          <w:p>
            <w:r>
              <w:rPr>
                <w:rFonts w:ascii="Yu Gothic" w:hAnsi="Yu Gothic" w:eastAsia="Yu Gothic"/>
                <w:b w:val="0"/>
                <w:sz w:val="17"/>
              </w:rPr>
              <w:t>デモA東北株式会社（DA-TB）</w:t>
            </w:r>
          </w:p>
        </w:tc>
        <w:tc>
          <w:tcPr>
            <w:tcW w:type="dxa" w:w="6520"/>
          </w:tcPr>
          <w:p>
            <w:r>
              <w:rPr>
                <w:rFonts w:ascii="Yu Gothic" w:hAnsi="Yu Gothic" w:eastAsia="Yu Gothic"/>
                <w:b w:val="0"/>
                <w:sz w:val="17"/>
              </w:rPr>
              <w:t>製造子会社。親会社と同一の標準原価体系を用いる。実地棚卸の実施時期・方法を親会社と揃える。グループ間の製品売上が多く、未実現利益の算定基礎となる売上総利益率を品目別に把握して報告する</w:t>
            </w:r>
          </w:p>
        </w:tc>
      </w:tr>
      <w:tr>
        <w:tc>
          <w:tcPr>
            <w:tcW w:type="dxa" w:w="2551"/>
          </w:tcPr>
          <w:p>
            <w:r>
              <w:rPr>
                <w:rFonts w:ascii="Yu Gothic" w:hAnsi="Yu Gothic" w:eastAsia="Yu Gothic"/>
                <w:b w:val="0"/>
                <w:sz w:val="17"/>
              </w:rPr>
              <w:t>デモA物流サービス株式会社（DA-LOG）</w:t>
            </w:r>
          </w:p>
        </w:tc>
        <w:tc>
          <w:tcPr>
            <w:tcW w:type="dxa" w:w="6520"/>
          </w:tcPr>
          <w:p>
            <w:r>
              <w:rPr>
                <w:rFonts w:ascii="Yu Gothic" w:hAnsi="Yu Gothic" w:eastAsia="Yu Gothic"/>
                <w:b w:val="0"/>
                <w:sz w:val="17"/>
              </w:rPr>
              <w:t>物流子会社。売上のほぼ全額がグループ内取引であるため、内部取引の照合が特に重要。保管在庫は預り品であり自社資産に計上しない</w:t>
            </w:r>
          </w:p>
        </w:tc>
      </w:tr>
      <w:tr>
        <w:tc>
          <w:tcPr>
            <w:tcW w:type="dxa" w:w="2551"/>
          </w:tcPr>
          <w:p>
            <w:r>
              <w:rPr>
                <w:rFonts w:ascii="Yu Gothic" w:hAnsi="Yu Gothic" w:eastAsia="Yu Gothic"/>
                <w:b w:val="0"/>
                <w:sz w:val="17"/>
              </w:rPr>
              <w:t>Demo-A (Thailand) Co., Ltd.（DAT）</w:t>
            </w:r>
          </w:p>
        </w:tc>
        <w:tc>
          <w:tcPr>
            <w:tcW w:type="dxa" w:w="6520"/>
          </w:tcPr>
          <w:p>
            <w:r>
              <w:rPr>
                <w:rFonts w:ascii="Yu Gothic" w:hAnsi="Yu Gothic" w:eastAsia="Yu Gothic"/>
                <w:b w:val="0"/>
                <w:sz w:val="17"/>
              </w:rPr>
              <w:t>在外子会社。THB建てで報告し、親会社が換算する。現地税法上の耐用年数・引当金と日本基準の差異を調整のうえ報告する。★自社の決算手順書が英文の簡易メモにとどまり、当社様式に準拠した手順書が未整備（是正課題）</w:t>
            </w:r>
          </w:p>
        </w:tc>
      </w:tr>
      <w:tr>
        <w:tc>
          <w:tcPr>
            <w:tcW w:type="dxa" w:w="2551"/>
          </w:tcPr>
          <w:p>
            <w:r>
              <w:rPr>
                <w:rFonts w:ascii="Yu Gothic" w:hAnsi="Yu Gothic" w:eastAsia="Yu Gothic"/>
                <w:b w:val="0"/>
                <w:sz w:val="17"/>
              </w:rPr>
              <w:t>株式会社デモAトレーディング（DATR）</w:t>
            </w:r>
          </w:p>
        </w:tc>
        <w:tc>
          <w:tcPr>
            <w:tcW w:type="dxa" w:w="6520"/>
          </w:tcPr>
          <w:p>
            <w:r>
              <w:rPr>
                <w:rFonts w:ascii="Yu Gothic" w:hAnsi="Yu Gothic" w:eastAsia="Yu Gothic"/>
                <w:b w:val="0"/>
                <w:sz w:val="17"/>
              </w:rPr>
              <w:t>商社子会社。非支配株主（20%）が存在するため、アップストリーム取引の未実現利益消去に伴う非支配株主持分への按分に留意。代理人取引に該当する取引は純額表示とする</w:t>
            </w:r>
          </w:p>
        </w:tc>
      </w:tr>
    </w:tbl>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