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3864"/>
          <w:sz w:val="32"/>
        </w:rPr>
        <w:t>開示書類作成手順書（有価証券報告書・四半期報告書・決算短信）</w:t>
      </w:r>
    </w:p>
    <w:p>
      <w:pPr>
        <w:jc w:val="center"/>
      </w:pPr>
      <w:r>
        <w:rPr>
          <w:rFonts w:ascii="Yu Gothic" w:hAnsi="Yu Gothic" w:eastAsia="Yu Gothic"/>
          <w:b w:val="0"/>
          <w:color w:val="595959"/>
          <w:sz w:val="18"/>
        </w:rPr>
        <w:t>文書番号：C-16　／　デモA株式会社　／　版数 v3.0　／　2024年4月1日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文書番号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C-16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主管部門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取締役CFO 渡辺 正博（E0002）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上位規程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情報開示規程（R29）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使用システム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開示システム（S06）、連結決算システム（S05）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関連統制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FCRP-005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関連文書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C-17 開示チェックリスト、C-18 XBRL手順書、C-19 3段階レビュー要領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1. 対象文書と法定期限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文書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根拠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提出先・公表先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法定期限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当社の目標期限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決算短信（通期）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東証 適時開示規則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TDnet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―（30日以内が望ましい）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決算日後45日以内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決算短信（四半期）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同上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TDnet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四半期末後45日以内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有価証券報告書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金商法第24条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EDINET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事業年度経過後3か月以内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6月下旬（株主総会後）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四半期報告書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金商法第24条の4の7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EDINET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四半期経過後45日以内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各四半期末後45日以内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内部統制報告書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金商法第24条の4の4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EDINET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有報と同時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有報と同時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事業報告・計算書類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会社法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株主総会招集通知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総会2週間前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5月下旬</w:t>
            </w:r>
          </w:p>
        </w:tc>
      </w:tr>
      <w:tr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コーポレートガバナンス報告書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東証規則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TDnet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定時株主総会後遅滞なく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7月上旬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2. 作成の手順（有価証券報告書の例）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工程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期限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インプット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アウトプット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作成スケジュールの確定・関係部門への依頼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決算日20営業日前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前期のスケジュール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作成スケジュール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記述情報の更新（事業の状況、リスク、ガバナンス等）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経営企画部・総務部・人事部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決算日後10営業日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各部門からの情報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記述情報ドラフト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財務諸表データの取込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決算日後16営業日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連結財務諸表（S05）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S06への取込完了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注記情報の入力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決算日後18営業日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注記情報一覧（C-15）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注記ドラフト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全体ドラフトの完成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決算日後20営業日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有報ドラフト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開示チェックリストによる自己点検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決算日後21営業日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C-17 開示チェックリスト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記入済チェックリスト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70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XBRLタグ付け・検証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決算日後22営業日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C-18 手順書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XBRL検証ログ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80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第1段階レビュー（経理部長）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 佐藤 一郎（E0011）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決算日後23営業日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有報ドラフト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レビューコメント・承認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90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第2段階レビュー（取締役CFO）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取締役CFO 渡辺 正博（E0002）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決算日後24営業日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同上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同上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100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第3段階レビュー（監査等委員会）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監査等委員会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決算日後25営業日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同上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委員会議事録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110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会計監査人の監査報告書の受領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決算日後27営業日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監査報告書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120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取締役会の承認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取締役会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決算日後30日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有報最終版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取締役会議事録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130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EDINET提出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法定期限内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提出完了通知</w:t>
            </w:r>
          </w:p>
        </w:tc>
      </w:tr>
      <w:tr>
        <w:tc>
          <w:tcPr>
            <w:tcW w:type="dxa" w:w="68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140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自社サイトへの掲載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提出日当日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30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掲載完了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3. 記述情報の作成</w:t>
      </w:r>
    </w:p>
    <w:p>
      <w:r>
        <w:rPr>
          <w:rFonts w:ascii="Yu Gothic" w:hAnsi="Yu Gothic" w:eastAsia="Yu Gothic"/>
          <w:b w:val="0"/>
          <w:sz w:val="20"/>
        </w:rPr>
        <w:t>記述情報（財務諸表以外の記載）は、財務数値との整合が特に重要である。次の対応関係を必ず確認する。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記述情報の項目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整合を確認すべき財務数値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情報提供部門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経営方針・経営環境・対処すべき課題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中期経営計画の数値目標（E-14）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事業等のリスク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全社リスクアセスメント結果（E-11/E-12）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経営者による財政状態・経営成績の分析（MD&amp;A）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連結財務諸表の各数値、セグメント情報、増減分析（F-03）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経理部・経営企画部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生産・受注・販売の状況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売上高、受注残高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営業本部・製造本部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設備の状況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有形固定資産の残高、当期の設備投資額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経理部・製造本部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従業員の状況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従業員数、平均年間給与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人事部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コーポレート・ガバナンスの状況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役員の報酬等、監査の状況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総務部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株式等の状況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発行済株式数、大株主の状況、自己株式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総務部</w:t>
            </w:r>
          </w:p>
        </w:tc>
      </w:tr>
      <w:tr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サステナビリティに関する考え方及び取組</w:t>
            </w:r>
          </w:p>
        </w:tc>
        <w:tc>
          <w:tcPr>
            <w:tcW w:type="dxa" w:w="368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人的資本に関する指標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経営企画部・人事部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4. 作成上の重点管理項目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リスク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対応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財務諸表と注記の数値の整合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本表と注記で数値が異なる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C-17 開示チェックリストの「数値整合」セクションで全件確認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前期比較の整合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前期数値が前期の開示と異なる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前期の開示書類と機械的に突合。組替を行った場合は組替表を作成し注記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記述情報と財務数値の整合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MD&amp;Aの説明と財務数値が矛盾する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第1段階レビュー（経理部長）の重点確認事項とする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注記の網羅性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必要な注記が漏れる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C-17 開示チェックリストの「記載項目」セクションで全項目を確認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後発事象の反映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開示直前に生じた事象が反映されない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開示日の3営業日前に最終確認を実施（C-15 第5章）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XBRLタグの誤り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タグの付与誤りにより機械可読データが誤る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C-18 の手順によりバリデーションを実施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内部統制報告書との整合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評価結果の記載が評価調書と異なる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内部監査室が作成し、経営企画部は転記のみ行う（C-21）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適時開示との整合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適時開示した内容と有報の記載が異なる</w:t>
            </w:r>
          </w:p>
        </w:tc>
        <w:tc>
          <w:tcPr>
            <w:tcW w:type="dxa" w:w="3402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過去の適時開示資料と突合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5. 決算短信の特則</w:t>
      </w:r>
    </w:p>
    <w:p>
      <w:r>
        <w:rPr>
          <w:rFonts w:ascii="Yu Gothic" w:hAnsi="Yu Gothic" w:eastAsia="Yu Gothic"/>
          <w:b w:val="0"/>
          <w:sz w:val="20"/>
        </w:rPr>
        <w:t>決算短信は法定開示に先立って公表されるため、次の点に留意する。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会計監査人の監査手続が完了していない段階で公表するため、その旨を表紙に記載する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監査手続の進行により数値が変動する可能性がある項目（会計上の見積り等）は、経理部長・取締役CFOと事前に確認する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短信公表後に有報作成過程で数値が変動した場合は、変動の重要性を評価し、重要な場合は適時開示（訂正）を検討する</w:t>
      </w:r>
    </w:p>
    <w:p>
      <w:pPr>
        <w:pStyle w:val="ListBullet"/>
      </w:pPr>
      <w:r>
        <w:rPr>
          <w:rFonts w:ascii="Yu Gothic" w:hAnsi="Yu Gothic" w:eastAsia="Yu Gothic"/>
          <w:b w:val="0"/>
          <w:sz w:val="20"/>
        </w:rPr>
        <w:t>業績予想を記載する場合は、その前提及び留意事項を明記する</w:t>
      </w:r>
    </w:p>
    <w:p>
      <w:r>
        <w:rPr>
          <w:rFonts w:ascii="Yu Gothic" w:hAnsi="Yu Gothic" w:eastAsia="Yu Gothic"/>
          <w:b/>
          <w:color w:val="2F5597"/>
          <w:sz w:val="26"/>
        </w:rPr>
        <w:t>6. 過年度の訂正</w:t>
      </w:r>
    </w:p>
    <w:p>
      <w:r>
        <w:rPr>
          <w:rFonts w:ascii="Yu Gothic" w:hAnsi="Yu Gothic" w:eastAsia="Yu Gothic"/>
          <w:b w:val="0"/>
          <w:sz w:val="20"/>
        </w:rPr>
        <w:t>開示済の書類に誤りが判明した場合は、次の手続による。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手順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誤りの内容・原因・影響額の把握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訂正の要否及び方法（訂正報告書／次回開示での修正）の判断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経理部長・取締役CFO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会計監査人との協議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監査等委員会・取締役会への報告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取締役CFO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訂正報告書の作成・提出／適時開示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経営企画部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再発防止策の策定、内部統制の不備としての評価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内部監査室</w:t>
            </w:r>
          </w:p>
        </w:tc>
      </w:tr>
    </w:tbl>
    <w:p/>
    <w:p>
      <w:r>
        <w:rPr>
          <w:rFonts w:ascii="Yu Gothic" w:hAnsi="Yu Gothic" w:eastAsia="Yu Gothic"/>
          <w:b w:val="0"/>
          <w:color w:val="595959"/>
          <w:sz w:val="17"/>
        </w:rPr>
        <w:t>※ 訂正が必要となる誤りは、エスカレーション基準（E-23 No.1・No.2）の対象。影響額が重要性の基準値を超える場合は、内部統制上の重要な不備に該当する可能性がある。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