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3864"/>
          <w:sz w:val="32"/>
        </w:rPr>
        <w:t>デモA東北株式会社 決算手順書・決算体制表</w:t>
      </w:r>
    </w:p>
    <w:p>
      <w:pPr>
        <w:jc w:val="center"/>
      </w:pPr>
      <w:r>
        <w:rPr>
          <w:rFonts w:ascii="Yu Gothic" w:hAnsi="Yu Gothic" w:eastAsia="Yu Gothic"/>
          <w:b w:val="0"/>
          <w:color w:val="595959"/>
          <w:sz w:val="18"/>
        </w:rPr>
        <w:t>文書番号：X-07-1　／　デモA東北株式会社　／　版数 v2.0　／　2025年4月1日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文書番号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X-07-1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デモA東北株式会社 経理課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経理課長 大橋 直樹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上位文書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デモA株式会社 連結パッケージ記入要領（C-07）、グループ統一会計方針書（C-06）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提出先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デモA株式会社 経理部 財務会計課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関連統制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FCRP-002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1. 決算体制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役職・氏名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役割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担当業務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バックアップ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経理課長 大橋 直樹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決算責任者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決算の統括、連結パッケージの承認、親会社との窓口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総務部長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決算実務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月次決算、勘定照合、連結パッケージの作成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担当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担当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決算補助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証憑の整理、データ抽出、原価データの集計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</w:tr>
    </w:tbl>
    <w:p/>
    <w:p>
      <w:r>
        <w:rPr>
          <w:rFonts w:ascii="Yu Gothic" w:hAnsi="Yu Gothic" w:eastAsia="Yu Gothic"/>
          <w:b w:val="0"/>
          <w:sz w:val="20"/>
        </w:rPr>
        <w:t>※ 当社はデモA株式会社のSAP S/4HANAを共同利用しており、会計データは親会社と同一のシステム上で管理されている。</w:t>
      </w:r>
    </w:p>
    <w:p>
      <w:r>
        <w:rPr>
          <w:rFonts w:ascii="Yu Gothic" w:hAnsi="Yu Gothic" w:eastAsia="Yu Gothic"/>
          <w:b/>
          <w:color w:val="2F5597"/>
          <w:sz w:val="26"/>
        </w:rPr>
        <w:t>2. 月次決算スケジュール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工程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担当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期限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製造実績・在庫データの締め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担当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翌1営業日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20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原価計算の実施（親会社と同一の標準原価体系）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翌2営業日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30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決算整理仕訳の入力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翌3営業日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40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勘定残高照合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担当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翌4営業日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50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月次試算表の作成・課長承認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経理課長 大橋 直樹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翌5営業日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60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親会社への月次試算表の提出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翌7営業日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3. 四半期決算（連結パッケージ作成）の手順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工程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担当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期限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パッケージ様式の受領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親会社から配付される最新様式を確認する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決算日10営業日前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20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BS・PLの転記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SAPの試算表から転記する。自動計算セルは上書きしない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決算日後2営業日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グループ債権債務明細の作成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相手会社別に残高を集計する。会社コードに注意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決算日後3営業日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40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グループ取引高明細の作成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相手会社別に取引高を集計する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決算日後3営業日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棚卸資産明細の作成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★品目別内訳を作成する（親会社の要請により必須）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担当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決算日後3営業日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その他の明細シートの作成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固定資産増減表、引当金明細、税効果等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決算日後4営業日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70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後発事象・特記事項の確認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各部門へ照会し、該当がない場合も「該当なし」と記載する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決算日後4営業日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80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課長レビュー・承認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内容を確認し、表紙の承認欄に記入する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経理課長 大橋 直樹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決算日後4営業日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90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S05へのアップロード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バリデーションを実行し、エラーがないことを確認する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決算日後5営業日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100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エラーの解消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エラーがある場合は修正のうえ再アップロードする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経理課 主任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決算日後7営業日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4. 作成上の留意点（当社固有）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留意点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棚卸資産の品目別内訳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親会社の未実現利益の算定に用いるため、グループ間仕入分を品目別に区分して報告する（C-06 第5章）。SAPのMB52から品目別在庫を抽出し、仕入元を紐付ける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原価計算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親会社と同一の標準原価体系を用いる。標準原価の改訂は親会社と同時に行う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会計方針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グループ統一会計方針書（C-06）に従う。異なる処理を行っている場合はシート14に記載する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実地棚卸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親会社と同一の時期（9月・3月）に実施する。差異は100千円以上について原因分析を記載し、親会社経理部へ報告する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内部取引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親会社（DA-HQ）及びデモAトレーディング（DATR）との取引が中心。会社コードの誤りが照合差異の主因となるため、提出前に相手先別残高の合計を検算する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5. よくある差戻し・エラーと対策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事象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原因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対策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V03 前期繰越不一致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前期数値を修正した際に親会社へ連絡していなかった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前期数値を修正する場合は事前に親会社経理部へ連絡する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V05 内部取引の未申告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取引がない相手先の欄を空欄にしていた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取引がない場合も「0」と記入する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V06 内部取引の相互不一致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月末納入分の検収時期が相手先とずれていた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決算日をまたぐ出荷・検収について、事前に相手先と情報交換する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棚卸資産の品目別内訳の未記入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作成に手間がかかり後回しにしていた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工程50として明示的にスケジュールに組み込んだ（v2.0で改訂）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