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8156CF">
      <w:pPr>
        <w:jc w:val="center"/>
        <w:rPr>
          <w:rFonts w:hint="default" w:ascii="Times New Roman" w:hAnsi="Times New Roman" w:eastAsia="宋体" w:cs="Times New Roman"/>
          <w:b/>
          <w:color w:val="000000"/>
          <w:sz w:val="40"/>
        </w:rPr>
      </w:pPr>
    </w:p>
    <w:p w14:paraId="708594E0">
      <w:pPr>
        <w:jc w:val="center"/>
        <w:rPr>
          <w:rFonts w:hint="default" w:ascii="Times New Roman" w:hAnsi="Times New Roman" w:eastAsia="宋体" w:cs="Times New Roman"/>
          <w:b/>
          <w:color w:val="000000"/>
          <w:sz w:val="40"/>
        </w:rPr>
      </w:pPr>
    </w:p>
    <w:p w14:paraId="62044A5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40"/>
        </w:rPr>
        <w:t>新能源发电灵活性量化评估软件</w:t>
      </w:r>
    </w:p>
    <w:p w14:paraId="3A634BCF">
      <w:pPr>
        <w:pStyle w:val="31"/>
        <w:spacing w:before="5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color w:val="000000"/>
          <w:sz w:val="52"/>
        </w:rPr>
        <w:t>测试报告</w:t>
      </w:r>
    </w:p>
    <w:p w14:paraId="78EF048E">
      <w:pPr>
        <w:spacing w:before="40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34"/>
        </w:rPr>
        <w:t>算例一  大型集中式新能源发电基地</w:t>
      </w:r>
    </w:p>
    <w:p w14:paraId="3A0B3B27">
      <w:pPr>
        <w:rPr>
          <w:rFonts w:hint="default" w:ascii="Times New Roman" w:hAnsi="Times New Roman" w:cs="Times New Roman"/>
        </w:rPr>
      </w:pPr>
    </w:p>
    <w:p w14:paraId="269A19D2">
      <w:pPr>
        <w:rPr>
          <w:rFonts w:hint="default" w:ascii="Times New Roman" w:hAnsi="Times New Roman" w:cs="Times New Roman"/>
        </w:rPr>
      </w:pPr>
    </w:p>
    <w:p w14:paraId="12E51260">
      <w:pPr>
        <w:rPr>
          <w:rFonts w:hint="default" w:ascii="Times New Roman" w:hAnsi="Times New Roman" w:cs="Times New Roman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7"/>
        <w:gridCol w:w="7654"/>
      </w:tblGrid>
      <w:tr w14:paraId="5599D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0DF70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报告项目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F1BD8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2"/>
              </w:rPr>
              <w:t>内容</w:t>
            </w:r>
          </w:p>
        </w:tc>
      </w:tr>
      <w:tr w14:paraId="43258A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53E4C9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测试对象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B14DA4">
            <w:pPr>
              <w:spacing w:before="40" w:after="40" w:line="264" w:lineRule="auto"/>
              <w:ind w:firstLine="0"/>
              <w:jc w:val="left"/>
              <w:rPr>
                <w:rFonts w:hint="eastAsia" w:ascii="Times New Roman" w:hAnsi="Times New Roman" w:eastAsia="宋体" w:cs="Times New Roman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 xml:space="preserve">新能源发电灵活性量化评估软件 </w:t>
            </w:r>
            <w:r>
              <w:rPr>
                <w:rFonts w:hint="eastAsia" w:cs="Times New Roman"/>
                <w:b w:val="0"/>
                <w:color w:val="000000"/>
                <w:sz w:val="22"/>
                <w:lang w:eastAsia="zh-CN"/>
              </w:rPr>
              <w:t>PSFA</w:t>
            </w:r>
          </w:p>
        </w:tc>
      </w:tr>
      <w:tr w14:paraId="6F00D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232BAE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算例结构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AC6196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600 MW风电＋400 MW光伏＋350 MW燃煤机组＋60 MW／200 MWh储能</w:t>
            </w:r>
          </w:p>
        </w:tc>
      </w:tr>
      <w:tr w14:paraId="57567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8D2CB4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仿真范围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9D42C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2026年6月1日至6月30日  共720 h</w:t>
            </w:r>
          </w:p>
        </w:tc>
      </w:tr>
      <w:tr w14:paraId="69C6BB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B9BFC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分析重点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6CEAD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参数配置、三层滚动运行、电力电量平衡、经济性与灵活性</w:t>
            </w:r>
          </w:p>
        </w:tc>
      </w:tr>
      <w:tr w14:paraId="389AC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08C72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报告日期</w:t>
            </w:r>
          </w:p>
        </w:tc>
        <w:tc>
          <w:tcPr>
            <w:tcW w:w="765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887CFE">
            <w:pPr>
              <w:spacing w:before="40" w:after="40" w:line="264" w:lineRule="auto"/>
              <w:ind w:firstLine="0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2"/>
              </w:rPr>
              <w:t>2026年10月22日</w:t>
            </w:r>
          </w:p>
        </w:tc>
      </w:tr>
    </w:tbl>
    <w:p w14:paraId="29F19AFC">
      <w:pPr>
        <w:spacing w:after="0"/>
        <w:rPr>
          <w:rFonts w:hint="default" w:ascii="Times New Roman" w:hAnsi="Times New Roman" w:cs="Times New Roman"/>
        </w:rPr>
      </w:pPr>
    </w:p>
    <w:p w14:paraId="048BC6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本报告对算例一已有完成任务进行结果核验和案例分析。5分钟层电力平衡成立，新能源消纳率为82.74%；向上、向下灵活性充足率分别为73.78%和99.66%。</w:t>
      </w:r>
    </w:p>
    <w:p w14:paraId="238C6B4F">
      <w:pPr>
        <w:pStyle w:val="3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 测</w:t>
      </w:r>
      <w:r>
        <w:rPr>
          <w:rStyle w:val="138"/>
          <w:rFonts w:hint="default" w:ascii="Times New Roman" w:hAnsi="Times New Roman" w:cs="Times New Roman"/>
          <w:bCs/>
        </w:rPr>
        <w:t>试说明</w:t>
      </w:r>
    </w:p>
    <w:p w14:paraId="41F06985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1.1 测试目的</w:t>
      </w:r>
      <w:r>
        <w:rPr>
          <w:rStyle w:val="139"/>
          <w:rFonts w:hint="default" w:ascii="Times New Roman" w:hAnsi="Times New Roman" w:cs="Times New Roman"/>
          <w:bCs/>
        </w:rPr>
        <w:t>与范围</w:t>
      </w:r>
    </w:p>
    <w:p w14:paraId="02693A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算例一对应大型集中式新能源发电基地应用场景。该场景要求基地根据</w:t>
      </w:r>
      <w:r>
        <w:rPr>
          <w:rFonts w:hint="eastAsia" w:cs="Times New Roman"/>
          <w:b w:val="0"/>
          <w:color w:val="000000"/>
          <w:sz w:val="22"/>
          <w:lang w:val="en-US" w:eastAsia="zh-CN"/>
        </w:rPr>
        <w:t>净负荷变化曲线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组织运行，给出电力电量平衡、发电出力以及各时点可向电网提供的上调和下调空间。</w:t>
      </w:r>
      <w:r>
        <w:rPr>
          <w:rFonts w:hint="eastAsia" w:cs="Times New Roman"/>
          <w:b w:val="0"/>
          <w:color w:val="000000"/>
          <w:sz w:val="22"/>
          <w:lang w:val="en-US" w:eastAsia="zh-CN"/>
        </w:rPr>
        <w:t>报告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围绕现有</w:t>
      </w:r>
      <w:r>
        <w:rPr>
          <w:rFonts w:hint="eastAsia" w:cs="Times New Roman"/>
          <w:b w:val="0"/>
          <w:color w:val="000000"/>
          <w:sz w:val="22"/>
          <w:lang w:val="en-US" w:eastAsia="zh-CN"/>
        </w:rPr>
        <w:t>算例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配置及已保存结果，检验这些输出的可追溯性、数值一致性与工程解释。报告按“算例介绍—配置参数—运行结果—经济性—灵活性—测试结论”的顺序展开</w:t>
      </w:r>
      <w:r>
        <w:rPr>
          <w:rFonts w:hint="eastAsia" w:cs="Times New Roman"/>
          <w:b w:val="0"/>
          <w:color w:val="000000"/>
          <w:sz w:val="22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分析以实际设备配置、边界数据、已完成任务和前端结果为依据。</w:t>
      </w:r>
    </w:p>
    <w:p w14:paraId="306EDBEE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1.2 数据对象与任务识别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427"/>
      </w:tblGrid>
      <w:tr w14:paraId="61432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2A0A12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项目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67392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核验结果</w:t>
            </w:r>
          </w:p>
        </w:tc>
      </w:tr>
      <w:tr w14:paraId="4E06B2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C077F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项目名称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E6791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算例1</w:t>
            </w:r>
          </w:p>
        </w:tc>
      </w:tr>
      <w:tr w14:paraId="11D43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C7177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运行任务名称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F7F25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算例1-画布1</w:t>
            </w:r>
          </w:p>
        </w:tc>
      </w:tr>
      <w:tr w14:paraId="07F383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91F44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任务标识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9E7874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afff9ae9-169e-4f63-868f-7b83a8f8e480</w:t>
            </w:r>
          </w:p>
        </w:tc>
      </w:tr>
      <w:tr w14:paraId="70E27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725AE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任务模式与状态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589216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离线仿真  completed 已完成</w:t>
            </w:r>
          </w:p>
        </w:tc>
      </w:tr>
      <w:tr w14:paraId="64CD94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DD89D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记录创建至完成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258CD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2026-10-21 09:50:23.344 至 10:02:03.902</w:t>
            </w:r>
          </w:p>
        </w:tc>
      </w:tr>
      <w:tr w14:paraId="036AB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52F0F9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统计时间范围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32EDD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累计小时区间[0:00, 720:00)  对应2026年6月</w:t>
            </w:r>
          </w:p>
        </w:tc>
      </w:tr>
      <w:tr w14:paraId="244AFC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5FE03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主分析层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ACD7D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时层3  时间间隔5 min  8640个时点</w:t>
            </w:r>
          </w:p>
        </w:tc>
      </w:tr>
      <w:tr w14:paraId="556653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0A4D3A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灵活性配置</w:t>
            </w:r>
          </w:p>
        </w:tc>
        <w:tc>
          <w:tcPr>
            <w:tcW w:w="7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8F7C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economic_operation  net_load_change  并网POI 7e99</w:t>
            </w:r>
          </w:p>
        </w:tc>
      </w:tr>
    </w:tbl>
    <w:p w14:paraId="41D397DD">
      <w:pPr>
        <w:spacing w:after="0"/>
        <w:ind w:left="0" w:leftChars="0" w:firstLine="0" w:firstLineChars="0"/>
        <w:rPr>
          <w:rFonts w:hint="default" w:ascii="Times New Roman" w:hAnsi="Times New Roman" w:cs="Times New Roman"/>
        </w:rPr>
      </w:pPr>
    </w:p>
    <w:p w14:paraId="0B5481F3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1.3 统计口径</w:t>
      </w:r>
    </w:p>
    <w:p w14:paraId="4AB6A3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各层结果均裁剪至同一720 h区间，排除滚动预测窗口延伸到7月的数据。功率由kW换算为MW，电量由各时点功率乘对应步长后累计，以MWh表示。三层是同一系统在不同时间尺度上的结果，不能相加作为基地总发电量。除专门说明外，后文电量和经济分析采用时层3。</w:t>
      </w:r>
    </w:p>
    <w:p w14:paraId="69E463BF">
      <w:pPr>
        <w:pStyle w:val="3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 算例配置</w:t>
      </w:r>
    </w:p>
    <w:p w14:paraId="30FA684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2.1 系统组成与规模</w:t>
      </w:r>
    </w:p>
    <w:p w14:paraId="3E67C2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该基地采用单电母线、单并网点结构。风电、光伏和燃煤机组向电母线供电；电化学储能通过充电和放电端口与母线双向交换；母线同时连接分时电负荷及外部电网。画布共7个节点、8条连线，其中6个为设备或负荷节点，1个为电总线。</w:t>
      </w:r>
    </w:p>
    <w:p w14:paraId="52EB49F8">
      <w:pPr>
        <w:keepNext/>
        <w:spacing w:after="60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147945" cy="3817620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38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B6C85">
      <w:pPr>
        <w:pStyle w:val="1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图2-1 算例一设备连接画布  前端截图</w:t>
      </w:r>
    </w:p>
    <w:p w14:paraId="3E7C53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风光装机合计1000 MW，常规电源350 MW，发电装机合计1350 MW；储能充放电上限均为60 MW，能量容量为200 MWh。新能源装机约占发电装机的74.07%，风电与光伏容量比例为3∶2。各发电设备以一个聚合组件表示，画布中的数量1不能解释为实际场站只配置一台物理机组。</w:t>
      </w:r>
    </w:p>
    <w:p w14:paraId="3EF120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并网接口基准容量为500 MW，允许上送比例85%、购入比例30%，对应最大上送425 MW、最大购入150 MW。风光装机相当于上送限额的2.35倍，因此新能源高出力时段容易出现外送约束。系统未配置水电、电解制氢、储氢等设备。</w:t>
      </w:r>
    </w:p>
    <w:p w14:paraId="662295DD">
      <w:pPr>
        <w:pStyle w:val="4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2.2 设备技术参数</w:t>
      </w:r>
    </w:p>
    <w:p w14:paraId="587D142D">
      <w:pPr>
        <w:keepNext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表2-1 主要设备技术参数与本次运行方式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3458"/>
        <w:gridCol w:w="4422"/>
      </w:tblGrid>
      <w:tr w14:paraId="3FEF8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A80CA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组件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3054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容量及关键参数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1A3A2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本次运行说明</w:t>
            </w:r>
          </w:p>
        </w:tc>
      </w:tr>
      <w:tr w14:paraId="69F5B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9104B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风电 WT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2CD1F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600 MW；通用爬坡参数1%/min；通用效率0.95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A31EB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绑定风速边界；启用风机拟合曲线；允许弃风，未启用出力爬坡约束</w:t>
            </w:r>
          </w:p>
        </w:tc>
      </w:tr>
      <w:tr w14:paraId="60E91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35C04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光伏 PV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88DD0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400 MW；通用爬坡参数1%/min；通用效率0.95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88DDA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绑定辐照度边界；启用光伏拟合曲线；允许弃光，未启用出力爬坡约束</w:t>
            </w:r>
          </w:p>
        </w:tc>
      </w:tr>
      <w:tr w14:paraId="1756D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6002F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燃煤机组 CP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81354D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350 MW；最小出力30%；效率0.50；爬坡0.5%/min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EF587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最小出力105 MW；启用最小出力及爬坡约束；未启用启停约束</w:t>
            </w:r>
          </w:p>
        </w:tc>
      </w:tr>
      <w:tr w14:paraId="6C5E4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BD6D5C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电化学储能 ES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3C744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200 MWh；充放电各60 MW；效率参数0.95；损耗参数0.001/h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2F6929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SOC范围10%～100%；初始SOC 10%；启用充放电互斥、SOC下限与窗口首末相等约束</w:t>
            </w:r>
          </w:p>
        </w:tc>
      </w:tr>
      <w:tr w14:paraId="094B9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DEC2B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分时电负荷 ELOAD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FCB26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额定需求参数150 MW；优先级A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13F20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实际负荷由边界曲线给出；本次作为刚性负荷</w:t>
            </w:r>
          </w:p>
        </w:tc>
      </w:tr>
      <w:tr w14:paraId="098C6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C8BA4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电网 GRID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22CA5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接口基准容量500 MW；上送比例0.85；购入比例0.30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6D7976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POI净功率为上送减购入；允许范围−150～425 MW</w:t>
            </w:r>
          </w:p>
        </w:tc>
      </w:tr>
      <w:tr w14:paraId="137100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62C56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电总线 ELEC_BUS</w:t>
            </w:r>
          </w:p>
        </w:tc>
        <w:tc>
          <w:tcPr>
            <w:tcW w:w="345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FE5140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1条电母线</w:t>
            </w:r>
          </w:p>
        </w:tc>
        <w:tc>
          <w:tcPr>
            <w:tcW w:w="442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F58894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承担各设备电功率汇集与平衡</w:t>
            </w:r>
          </w:p>
        </w:tc>
      </w:tr>
    </w:tbl>
    <w:p w14:paraId="7996EBE0">
      <w:pPr>
        <w:spacing w:after="0"/>
        <w:rPr>
          <w:rFonts w:hint="default" w:ascii="Times New Roman" w:hAnsi="Times New Roman" w:cs="Times New Roman"/>
        </w:rPr>
      </w:pPr>
    </w:p>
    <w:p w14:paraId="5D82B4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储能功率上限由本次参数换算得到：0.5%/min对应0.30/h，与200 MWh能量容量组合得到60 MW。其名义满功率时长为3.33 h，可用SOC区间对应180 MWh；实际可持续时间还受当前SOC、效率与损耗影响。</w:t>
      </w:r>
    </w:p>
    <w:p w14:paraId="3060939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燃煤机组最小开停机时间参数分别为10 min和135 min，但本次未启用启停约束，因此不能将这些参数写作已验证的启停控制效果。三层内主要设备的状态均为stand_alone，表示各层独立优化；本次配置没有强制下层逐点跟随上层设备出力计划。</w:t>
      </w:r>
    </w:p>
    <w:p w14:paraId="248CEE8D">
      <w:pPr>
        <w:pStyle w:val="4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2.3 滚动时层与计算设置</w:t>
      </w:r>
    </w:p>
    <w:p w14:paraId="2726D454">
      <w:pPr>
        <w:keepNext/>
        <w:spacing w:after="60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615940" cy="3197860"/>
            <wp:effectExtent l="0" t="0" r="381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9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6ADF">
      <w:pPr>
        <w:pStyle w:val="1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图2-2 三层滚动时层配置  前端截图</w:t>
      </w:r>
    </w:p>
    <w:p w14:paraId="48C92074">
      <w:pPr>
        <w:keepNext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表2-2 时层配置与统计采样数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1644"/>
        <w:gridCol w:w="1644"/>
        <w:gridCol w:w="2268"/>
        <w:gridCol w:w="2665"/>
      </w:tblGrid>
      <w:tr w14:paraId="416A8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5C5A0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时层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2ED62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调度长度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6B7E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调度步长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8D2C2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滚动步长</w:t>
            </w:r>
          </w:p>
        </w:tc>
        <w:tc>
          <w:tcPr>
            <w:tcW w:w="26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23B4D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本报告区间内点数</w:t>
            </w:r>
          </w:p>
        </w:tc>
      </w:tr>
      <w:tr w14:paraId="7AEC0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CE4E64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时层1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110DD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24 h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F073D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60 min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1021E1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1440 min 即24 h</w:t>
            </w:r>
          </w:p>
        </w:tc>
        <w:tc>
          <w:tcPr>
            <w:tcW w:w="26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D755EA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720</w:t>
            </w:r>
          </w:p>
        </w:tc>
      </w:tr>
      <w:tr w14:paraId="5A95E8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21DD0D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时层2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75B2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 h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9E72A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15 min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373656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120 min 即2 h</w:t>
            </w:r>
          </w:p>
        </w:tc>
        <w:tc>
          <w:tcPr>
            <w:tcW w:w="26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F5C8E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2880</w:t>
            </w:r>
          </w:p>
        </w:tc>
      </w:tr>
      <w:tr w14:paraId="0B088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E23F0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时层3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36477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 h</w:t>
            </w:r>
          </w:p>
        </w:tc>
        <w:tc>
          <w:tcPr>
            <w:tcW w:w="164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1D6CB8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5 min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4413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30 min</w:t>
            </w:r>
          </w:p>
        </w:tc>
        <w:tc>
          <w:tcPr>
            <w:tcW w:w="26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A4FE6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8640</w:t>
            </w:r>
          </w:p>
        </w:tc>
      </w:tr>
    </w:tbl>
    <w:p w14:paraId="28C995F2">
      <w:pPr>
        <w:spacing w:after="0"/>
        <w:rPr>
          <w:rFonts w:hint="default" w:ascii="Times New Roman" w:hAnsi="Times New Roman" w:cs="Times New Roman"/>
        </w:rPr>
      </w:pPr>
    </w:p>
    <w:p w14:paraId="3166024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时层1提供日尺度计划视野；时层2以4 h窗口每2 h更新；时层3以1 h窗口每30 min更新，将结果细化到5 min。三层分别保留各自设备运行曲线，灵活性评价明确选取时层3，不混用其他层的出力或SOC。</w:t>
      </w:r>
    </w:p>
    <w:p w14:paraId="407BFF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任务采用MILP优化和COPT求解器。保存的求解设置为容差0.0001、线程数8、最大迭代参数500，并开启热启动。电力缺额与过剩松弛均允许使用，配置惩罚系数为1000000；本次结果是否依赖松弛量，需由运行数据核验，不能仅凭任务已完成判断。</w:t>
      </w:r>
    </w:p>
    <w:p w14:paraId="491AC7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滚动求解会在仿真终点之外保留预测窗口。原始结果库中，三层每条设备序列分别可见744、2888和8646个点；本报告按[0,720 h)分别保留720、2880和8640个点，防止将预测延伸量计入6月电量。</w:t>
      </w:r>
    </w:p>
    <w:p w14:paraId="7990AFBD">
      <w:pPr>
        <w:pStyle w:val="4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2.4 边界数据与经济参数</w:t>
      </w:r>
    </w:p>
    <w:p w14:paraId="53DDF6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已提交的基础边界覆盖2026年全年，原始时间步长为1 h，共8760点；本次仅运行6月30天。任务时间序列库实际注入6条关联边界：风速、辐照度、电负荷、燃料价格、购电价格和售电价格，均可由数据库按时点查询。</w:t>
      </w:r>
    </w:p>
    <w:p w14:paraId="66525BF6">
      <w:pPr>
        <w:keepNext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表2-3 边界数据及关联情况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4"/>
        <w:gridCol w:w="3798"/>
        <w:gridCol w:w="1871"/>
        <w:gridCol w:w="2438"/>
      </w:tblGrid>
      <w:tr w14:paraId="3DA102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F3378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8"/>
              </w:rPr>
              <w:t>数据项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6902C0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8"/>
              </w:rPr>
              <w:t>源文件列名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4BA4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8"/>
              </w:rPr>
              <w:t>单位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D8F74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8"/>
              </w:rPr>
              <w:t>关联组件</w:t>
            </w:r>
          </w:p>
        </w:tc>
      </w:tr>
      <w:tr w14:paraId="31908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739EC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风速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59CE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wind_speed_m_s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B9218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m/s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DDC607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风电</w:t>
            </w:r>
          </w:p>
        </w:tc>
      </w:tr>
      <w:tr w14:paraId="2FFE7C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FAF59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辐照度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CF750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solar_irradiance_w_m2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4AE9AB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W/m²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2994D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光伏</w:t>
            </w:r>
          </w:p>
        </w:tc>
      </w:tr>
      <w:tr w14:paraId="5B16A6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4167D7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电负荷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D969F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electric_load_kw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3462CE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kW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F69C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分时电负荷</w:t>
            </w:r>
          </w:p>
        </w:tc>
      </w:tr>
      <w:tr w14:paraId="028E5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C5CBD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燃料价格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BE37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coal_fuel_price_yuan_per_kwh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CF2BF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元/kWh燃料输入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2E53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燃煤机组</w:t>
            </w:r>
          </w:p>
        </w:tc>
      </w:tr>
      <w:tr w14:paraId="55FAA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1159C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购电价格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4B355E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buy_price_yuan_per_kwh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8A561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元/kWh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B1D71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电网购入</w:t>
            </w:r>
          </w:p>
        </w:tc>
      </w:tr>
      <w:tr w14:paraId="3C5B5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11A55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售电价格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7A01C5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sell_price_yuan_per_kwh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84FAF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元/kWh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93FBA5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电网上送</w:t>
            </w:r>
          </w:p>
        </w:tc>
      </w:tr>
      <w:tr w14:paraId="0F8E75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8D808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温度</w:t>
            </w:r>
          </w:p>
        </w:tc>
        <w:tc>
          <w:tcPr>
            <w:tcW w:w="37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0DD5F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temperature_c</w:t>
            </w:r>
          </w:p>
        </w:tc>
        <w:tc>
          <w:tcPr>
            <w:tcW w:w="187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D4DC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℃</w:t>
            </w:r>
          </w:p>
        </w:tc>
        <w:tc>
          <w:tcPr>
            <w:tcW w:w="243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92D9C1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任务快照未关联设备</w:t>
            </w:r>
          </w:p>
        </w:tc>
      </w:tr>
    </w:tbl>
    <w:p w14:paraId="641B2A56">
      <w:pPr>
        <w:spacing w:after="0"/>
        <w:rPr>
          <w:rFonts w:hint="default" w:ascii="Times New Roman" w:hAnsi="Times New Roman" w:cs="Times New Roman"/>
        </w:rPr>
      </w:pPr>
    </w:p>
    <w:p w14:paraId="7A7733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任务快照中的边界插值类型为copy，随机分布配置为normal。报告使用任务已落库的序列及运行结果，不重新抽取随机样本；因此报告图表与本次完成任务保持一致。光伏仅绑定辐照度，温度未关联，按代码配置口径采用25 ℃缺省温度。</w:t>
      </w:r>
    </w:p>
    <w:p w14:paraId="282BF3F2">
      <w:pPr>
        <w:keepNext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表2-4 参与运行评价的主要成本参数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4025"/>
        <w:gridCol w:w="3969"/>
      </w:tblGrid>
      <w:tr w14:paraId="5CAC3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29870E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8"/>
              </w:rPr>
              <w:t>对象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AF68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8"/>
              </w:rPr>
              <w:t>运行成本参数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E1656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8"/>
              </w:rPr>
              <w:t>静态参数的使用说明</w:t>
            </w:r>
          </w:p>
        </w:tc>
      </w:tr>
      <w:tr w14:paraId="247C3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D232FC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风电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A183F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运维0.15元/kWh；弃风0.15元/kWh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38747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初始投资参数4100元/kW</w:t>
            </w:r>
          </w:p>
        </w:tc>
      </w:tr>
      <w:tr w14:paraId="37900F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DB1D8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光伏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FDCCD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运维0.10元/kWh；弃光0.15元/kWh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72F70D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初始投资参数2100元/kW</w:t>
            </w:r>
          </w:p>
        </w:tc>
      </w:tr>
      <w:tr w14:paraId="3366A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A30E1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燃煤机组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E987E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运维0.18元/kWh；燃料价格取绑定曲线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F5C4EB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初始投资参数4600元/kW；启停成本参数10000元/次</w:t>
            </w:r>
          </w:p>
        </w:tc>
      </w:tr>
      <w:tr w14:paraId="558224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123BE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电化学储能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F56729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充电与放电吞吐量运维0.12元/kWh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04EAB2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初始投资参数1500元/kWh</w:t>
            </w:r>
          </w:p>
        </w:tc>
      </w:tr>
      <w:tr w14:paraId="29851D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DF40E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电网</w:t>
            </w:r>
          </w:p>
        </w:tc>
        <w:tc>
          <w:tcPr>
            <w:tcW w:w="402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7A508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购售电价格分别取绑定边界</w:t>
            </w:r>
          </w:p>
        </w:tc>
        <w:tc>
          <w:tcPr>
            <w:tcW w:w="396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80DFF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标量备用值分别为0.50、0.40元/kWh</w:t>
            </w:r>
          </w:p>
        </w:tc>
      </w:tr>
    </w:tbl>
    <w:p w14:paraId="7379B609">
      <w:pPr>
        <w:spacing w:after="0"/>
        <w:rPr>
          <w:rFonts w:hint="default" w:ascii="Times New Roman" w:hAnsi="Times New Roman" w:cs="Times New Roman"/>
        </w:rPr>
      </w:pPr>
    </w:p>
    <w:p w14:paraId="205E68C9">
      <w:pPr>
        <w:pStyle w:val="3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 运行结果分析</w:t>
      </w:r>
    </w:p>
    <w:p w14:paraId="7729ED59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3.1 运行总览</w:t>
      </w:r>
    </w:p>
    <w:p w14:paraId="5BDBBE58">
      <w:pPr>
        <w:keepNext/>
        <w:spacing w:after="60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59450" cy="3980815"/>
            <wp:effectExtent l="0" t="0" r="3175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8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FD6E">
      <w:pPr>
        <w:pStyle w:val="1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图3-1 运行总览  前端截图</w:t>
      </w:r>
    </w:p>
    <w:p w14:paraId="333565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图3-1同时显示各层总线缺额、过剩、外送、购入及设备输出等曲线。缺额与过剩曲线基本贴近零线，光伏具有明显日周期，风电呈现连续波动，燃煤机组在105 MW最低出力处运行，外送曲线多次触及425 MW限额。</w:t>
      </w:r>
    </w:p>
    <w:p w14:paraId="1A98FB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本次5分钟层风电出力范围为0～415.63 MW，光伏为0～363.68 MW，刚性负荷为16.07～44.18 MW。发电基地以外送为主要电力去向，本地负荷只占发电量的一小部分。图中的“上送功率”与“购入功率”是两个方向的变量，参与调峰的基准功率应按两者之差理解。</w:t>
      </w:r>
    </w:p>
    <w:p w14:paraId="5D477D7E">
      <w:pPr>
        <w:pStyle w:val="4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3.2 电力电量平衡</w:t>
      </w:r>
    </w:p>
    <w:p w14:paraId="6D3100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将每个5 min时点的风电、光伏、燃煤出力、储能放电和电网购入相加，与本地电负荷、储能充电及电网上送之和比较，最大绝对残差为5.82×10⁻¹¹ kW。时层1和时层2的相应最大残差分别为5.82×10⁻¹¹ kW、1.16×10⁻¹⁰ kW，均处于浮点计算精度范围。</w:t>
      </w:r>
    </w:p>
    <w:p w14:paraId="67A270ED">
      <w:pPr>
        <w:keepNext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表3-1 时层3月度电量平衡  单位MWh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1928"/>
        <w:gridCol w:w="2891"/>
        <w:gridCol w:w="1928"/>
      </w:tblGrid>
      <w:tr w14:paraId="2AB90F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D18FE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供给项目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71AC65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电量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43B82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用电及外送项目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0DF9E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电量</w:t>
            </w:r>
          </w:p>
        </w:tc>
      </w:tr>
      <w:tr w14:paraId="7F0301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1AF69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风电发电量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029FD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68,165.38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BCD4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本地电负荷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2714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23,082.98</w:t>
            </w:r>
          </w:p>
        </w:tc>
      </w:tr>
      <w:tr w14:paraId="61BA0E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A9593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光伏发电量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D06BDB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100,168.87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A7FA0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储能充电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1E13D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475.50</w:t>
            </w:r>
          </w:p>
        </w:tc>
      </w:tr>
      <w:tr w14:paraId="180D39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2B944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燃煤发电量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4479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75,600.00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78185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电网上送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EA5EB0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221,240.49</w:t>
            </w:r>
          </w:p>
        </w:tc>
      </w:tr>
      <w:tr w14:paraId="291D66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3F92E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储能放电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F40E2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407.03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8892F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82FD15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5A1516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53CA9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电网购入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73A23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457.68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D782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2C0BD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</w:p>
        </w:tc>
      </w:tr>
      <w:tr w14:paraId="7307BA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29885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合计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91A86A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244,798.97</w:t>
            </w:r>
          </w:p>
        </w:tc>
        <w:tc>
          <w:tcPr>
            <w:tcW w:w="289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84285A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合计</w:t>
            </w:r>
          </w:p>
        </w:tc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CF9B4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244,798.97</w:t>
            </w:r>
          </w:p>
        </w:tc>
      </w:tr>
    </w:tbl>
    <w:p w14:paraId="2D9AE117">
      <w:pPr>
        <w:spacing w:after="0"/>
        <w:rPr>
          <w:rFonts w:hint="default" w:ascii="Times New Roman" w:hAnsi="Times New Roman" w:cs="Times New Roman"/>
        </w:rPr>
      </w:pPr>
    </w:p>
    <w:p w14:paraId="4B93F2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6月总发电量为243934.26 MWh，其中风光发电168334.26 MWh，占69.01%。累计上送221240.49 MWh、购入457.68 MWh，净外送220782.81 MWh，平均净外送306.64 MW。本地负荷用电23082.98 MWh，平均负荷32.06 MW。</w:t>
      </w:r>
    </w:p>
    <w:p w14:paraId="50DDB257">
      <w:pPr>
        <w:keepNext/>
        <w:spacing w:after="60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95645" cy="2399030"/>
            <wp:effectExtent l="0" t="0" r="508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39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FEC1">
      <w:pPr>
        <w:pStyle w:val="1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图3-2 逐日发电结构与并网点净外送电量  据5分钟层结果计算</w:t>
      </w:r>
    </w:p>
    <w:p w14:paraId="4E415FB1">
      <w:pPr>
        <w:pStyle w:val="4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3.3 能流结构与新能源消纳</w:t>
      </w:r>
    </w:p>
    <w:p w14:paraId="4FE8AE0E">
      <w:pPr>
        <w:keepNext/>
        <w:spacing w:after="60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95645" cy="2216785"/>
            <wp:effectExtent l="0" t="0" r="508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21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A879">
      <w:pPr>
        <w:pStyle w:val="1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图3-3 电总线时层3能流平衡图  前端截图</w:t>
      </w:r>
    </w:p>
    <w:p w14:paraId="7E9F67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能流平衡图以正负方向区分进入母线和离开母线的功率。风光和燃煤构成主要供给，外送构成主要去向；电负荷及储能充放电在母线侧同步参与平衡。图中正负堆叠同时存在是供用两侧的表示方式，不能将其误读为系统失衡。</w:t>
      </w:r>
    </w:p>
    <w:p w14:paraId="2BCB51A6">
      <w:pPr>
        <w:keepNext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表3-2 新能源可用电量与消纳结果  时层3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2268"/>
        <w:gridCol w:w="2268"/>
        <w:gridCol w:w="2268"/>
      </w:tblGrid>
      <w:tr w14:paraId="0F9F02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6461B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项目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78E0B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风电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960AB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光伏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2C954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合计</w:t>
            </w:r>
          </w:p>
        </w:tc>
      </w:tr>
      <w:tr w14:paraId="18D82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3933C0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实际发电量 MWh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C8A3E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68,165.38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5A7DF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100,168.87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FA9B4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168,334.26</w:t>
            </w:r>
          </w:p>
        </w:tc>
      </w:tr>
      <w:tr w14:paraId="5C96B9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065B1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弃电量 MWh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8070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35,057.55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829185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48.20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AE9C0F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35,105.75</w:t>
            </w:r>
          </w:p>
        </w:tc>
      </w:tr>
      <w:tr w14:paraId="23F8C9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6DC64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可用电量 MWh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6A65F8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103,222.93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9196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100,217.07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805A0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203,440.00</w:t>
            </w:r>
          </w:p>
        </w:tc>
      </w:tr>
      <w:tr w14:paraId="1DC7F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49A99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消纳率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6D7D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66.04%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E5790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99.95%</w:t>
            </w:r>
          </w:p>
        </w:tc>
        <w:tc>
          <w:tcPr>
            <w:tcW w:w="226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20124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82.74%</w:t>
            </w:r>
          </w:p>
        </w:tc>
      </w:tr>
    </w:tbl>
    <w:p w14:paraId="04830316">
      <w:pPr>
        <w:spacing w:after="0"/>
        <w:rPr>
          <w:rFonts w:hint="default" w:ascii="Times New Roman" w:hAnsi="Times New Roman" w:cs="Times New Roman"/>
        </w:rPr>
      </w:pPr>
    </w:p>
    <w:p w14:paraId="035F37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弃电以弃风为主，风电弃电35057.55 MWh，占全部弃电约99.86%；弃光48.20 MWh。外送达到425 MW的时点共3390个，占39.24%，对应累计282.50 h。大量风电弃电与外送通道饱和在同一运行背景下出现，说明装机规模与外送能力的匹配对消纳结果具有重要影响。</w:t>
      </w:r>
    </w:p>
    <w:p w14:paraId="6E5267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比较三个时层，新能源消纳率分别为85.28%、83.25%和82.74%。较细时间尺度呈现更多短时波动及边界约束；三层边界采样、滚动窗口和储能轨迹存在差异，不能将消纳率差额直接解释为某种控制策略的改进收益。</w:t>
      </w:r>
    </w:p>
    <w:p w14:paraId="3F0663F8">
      <w:pPr>
        <w:pStyle w:val="4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3.4 发电出力与储能运行</w:t>
      </w:r>
    </w:p>
    <w:p w14:paraId="4631D1D1">
      <w:pPr>
        <w:keepNext/>
        <w:spacing w:after="60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59450" cy="2671445"/>
            <wp:effectExtent l="0" t="0" r="317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71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7059C">
      <w:pPr>
        <w:pStyle w:val="1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图3-4 时层3风电 光伏和储能放电曲线  前端截图</w:t>
      </w:r>
    </w:p>
    <w:p w14:paraId="262249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风电承担波动性电源角色，光伏呈日间集中发电特征。燃煤机组全月保持105 MW，等于350 MW容量的30%最低出力，月发电量75600 MWh。其运行点使系统保有向上调节余量，但无法继续通过降低燃煤出力来吸收新能源。</w:t>
      </w:r>
    </w:p>
    <w:p w14:paraId="25963396">
      <w:pPr>
        <w:keepNext/>
        <w:spacing w:after="60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95645" cy="3326765"/>
            <wp:effectExtent l="0" t="0" r="508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3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D110">
      <w:pPr>
        <w:pStyle w:val="1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图3-5 6月5日发电 外送及储能运行曲线  5分钟分辨率</w:t>
      </w:r>
    </w:p>
    <w:p w14:paraId="2E408877">
      <w:pPr>
        <w:pStyle w:val="4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3.5 储能状态与运行边界核验</w:t>
      </w:r>
    </w:p>
    <w:p w14:paraId="037B6671">
      <w:pPr>
        <w:keepNext/>
        <w:spacing w:after="60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95645" cy="2755265"/>
            <wp:effectExtent l="0" t="0" r="508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75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E9070">
      <w:pPr>
        <w:pStyle w:val="1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图3-6 储能SOC与母线电功率平衡残差  时层3</w:t>
      </w:r>
    </w:p>
    <w:p w14:paraId="574C14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储能月充电475.50 MWh、放电407.03 MWh，充放电吞吐量合计882.52 MWh，按双向吞吐量除以两倍额定能量计算约为2.21次等效循环。充放电功率均未超过60 MW，未出现同一时点充放电同时为正的情况。</w:t>
      </w:r>
    </w:p>
    <w:p w14:paraId="06D058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时层3储能能量范围为20.00～65.97 MWh，对应SOC 10.00%～32.99%，平均SOC约16.08%。1095个时点处于SOC下限附近，占12.67%。因此200 MWh额定容量并不意味着各时刻均可提供满容量的放电支撑，本次多数时段处于较低荷电水平。</w:t>
      </w:r>
    </w:p>
    <w:p w14:paraId="103964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按相邻时点对储能能量变化、充放电效率及自损耗进行核对，5分钟层的最大能量递推残差为4.00×10⁻¹¹ kWh。该层月初能量为20.00 MWh、最后一个统计时点为20.10 MWh；充电与放电电量之差还包含转换损耗、自损耗和终端储能变化，不能全部当作损失或直接当作月循环效率。</w:t>
      </w:r>
    </w:p>
    <w:p w14:paraId="73C434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电网变量在40个时点同时出现购入和上送，累计相当于3.33 h。本次模型允许两个方向变量同时为正，报告据此采用净外送功率分析POI。若业务要求单一物理接口不得同时买卖，应在后续专项复测中明确互斥条件，再检验经济性与灵活性变化。</w:t>
      </w:r>
    </w:p>
    <w:p w14:paraId="5991F345">
      <w:pPr>
        <w:pStyle w:val="3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 经济性分析</w:t>
      </w:r>
    </w:p>
    <w:p w14:paraId="5B1FEF57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4.1 前端经济性总览与费用构成</w:t>
      </w:r>
    </w:p>
    <w:p w14:paraId="782E83CC">
      <w:pPr>
        <w:keepNext/>
        <w:spacing w:after="60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95645" cy="3430905"/>
            <wp:effectExtent l="0" t="0" r="508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43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562F">
      <w:pPr>
        <w:pStyle w:val="1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图4-1 运行经济性总览  前端截图</w:t>
      </w:r>
    </w:p>
    <w:p w14:paraId="5C9E7A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软件经济性总览给出的平均净成本为1540.21万元，日均51.34万元。该值为三个有效时层月度成本的算术平均，不是三个时层成本相加，也不是某一条可直接执行的5分钟轨迹成本。为与前述电量结果一致，本报告主要采用时层3净运行成本1633.62万元进行分析。</w:t>
      </w:r>
    </w:p>
    <w:p w14:paraId="59532355">
      <w:pPr>
        <w:keepNext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表4-1 软件经济性指标口径  单位万元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757"/>
        <w:gridCol w:w="1757"/>
        <w:gridCol w:w="1757"/>
        <w:gridCol w:w="1757"/>
      </w:tblGrid>
      <w:tr w14:paraId="5BA6E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FA95E2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指标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FC6B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时层1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841AB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时层2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C248CD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时层3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E52F6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三层平均</w:t>
            </w:r>
          </w:p>
        </w:tc>
      </w:tr>
      <w:tr w14:paraId="2BB70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1F6E4E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净运行成本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33CC1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1610.63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81BAF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1376.38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398570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1633.62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49FA1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1540.21</w:t>
            </w:r>
          </w:p>
        </w:tc>
      </w:tr>
      <w:tr w14:paraId="4D80B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47F12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售电收益抵扣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A4F6B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6159.34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809D7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6357.82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1EC85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6071.07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2873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6196.08</w:t>
            </w:r>
          </w:p>
        </w:tc>
      </w:tr>
      <w:tr w14:paraId="39E0C5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C40890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松弛惩罚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5D010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0.00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13120E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0.00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C52432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0.00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9DD5B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0.00</w:t>
            </w:r>
          </w:p>
        </w:tc>
      </w:tr>
    </w:tbl>
    <w:p w14:paraId="2B118B7B">
      <w:pPr>
        <w:spacing w:after="0"/>
        <w:rPr>
          <w:rFonts w:hint="default" w:ascii="Times New Roman" w:hAnsi="Times New Roman" w:cs="Times New Roman"/>
        </w:rPr>
      </w:pPr>
    </w:p>
    <w:p w14:paraId="398117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总览中的年化成本18739.22万元由日均乘365得到，仅为6月样本的线性折算。由于全年风光资源、负荷和电价可能不同，该数值不构成全年生产模拟结论或项目投资回报评价。</w:t>
      </w:r>
    </w:p>
    <w:p w14:paraId="24DE43AE">
      <w:pPr>
        <w:pStyle w:val="4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4.2 时层3运行经济性</w:t>
      </w:r>
    </w:p>
    <w:p w14:paraId="143FC3B9">
      <w:pPr>
        <w:keepNext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表4-2 时层3费用与售电收益  单位万元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8"/>
        <w:gridCol w:w="1814"/>
        <w:gridCol w:w="4819"/>
      </w:tblGrid>
      <w:tr w14:paraId="713CD9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7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E8DAF8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费用项目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7F11FD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金额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94928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分析口径</w:t>
            </w:r>
          </w:p>
        </w:tc>
      </w:tr>
      <w:tr w14:paraId="526FD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182B0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燃料成本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22FD1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3775.06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E5D847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燃料输入功率与绑定燃料价格逐时点积分</w:t>
            </w:r>
          </w:p>
        </w:tc>
      </w:tr>
      <w:tr w14:paraId="20F010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55CE8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运维成本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86ABE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3395.56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6DE14D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风电 光伏 燃煤及储能吞吐量运维之和</w:t>
            </w:r>
          </w:p>
        </w:tc>
      </w:tr>
      <w:tr w14:paraId="363D6E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A9C333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弃风弃光成本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D569C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526.59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15875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弃电电量按0.15元/kWh计价</w:t>
            </w:r>
          </w:p>
        </w:tc>
      </w:tr>
      <w:tr w14:paraId="2D69B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69BDB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购电成本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A25F8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7.48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58ACC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按购入电量与购电价格计算</w:t>
            </w:r>
          </w:p>
        </w:tc>
      </w:tr>
      <w:tr w14:paraId="736B0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DCAE3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启停成本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99D30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0.00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217695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本次出力无启停切换，启停目标未启用</w:t>
            </w:r>
          </w:p>
        </w:tc>
      </w:tr>
      <w:tr w14:paraId="306008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960AE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正向成本合计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18BF4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7704.69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B148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含弃电惩罚的运行评价成本</w:t>
            </w:r>
          </w:p>
        </w:tc>
      </w:tr>
      <w:tr w14:paraId="34B4D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49A54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售电收益抵扣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BE4831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−6071.07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C2215B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按上送电量与售电价格计算，成本项取负</w:t>
            </w:r>
          </w:p>
        </w:tc>
      </w:tr>
      <w:tr w14:paraId="737FF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FA27E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净运行成本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1C942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1633.62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9ECCF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正向成本减售电收益</w:t>
            </w:r>
          </w:p>
        </w:tc>
      </w:tr>
      <w:tr w14:paraId="43E60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77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91327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不含弃电惩罚的净运行支出</w:t>
            </w:r>
          </w:p>
        </w:tc>
        <w:tc>
          <w:tcPr>
            <w:tcW w:w="181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8B51E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1107.04</w:t>
            </w:r>
          </w:p>
        </w:tc>
        <w:tc>
          <w:tcPr>
            <w:tcW w:w="4819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36E8C3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净运行成本扣除弃电惩罚，仍非全口径财务利润</w:t>
            </w:r>
          </w:p>
        </w:tc>
      </w:tr>
    </w:tbl>
    <w:p w14:paraId="2E53E9D8">
      <w:pPr>
        <w:spacing w:after="0"/>
        <w:rPr>
          <w:rFonts w:hint="default" w:ascii="Times New Roman" w:hAnsi="Times New Roman" w:cs="Times New Roman"/>
        </w:rPr>
      </w:pPr>
    </w:p>
    <w:p w14:paraId="7C7684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燃料与运维合计占正向成本的93.07%，其中燃煤机组燃料及运维成本合计5135.86万元，是主要运行费用来源。燃煤出力维持105 MW时，燃料输入为210 MW，效率参数0.50通过燃料投入成本反映出来。</w:t>
      </w:r>
    </w:p>
    <w:p w14:paraId="238A0FF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风电费用为1548.34万元，其中运维1022.48万元、弃风525.86万元；光伏费用1002.41万元，其中运维1001.69万元、弃光0.72万元。储能运维费用为10.59万元。本次储能没有独立电力销售收入核算，不能以储能运维费用较低直接推导其投资收益。</w:t>
      </w:r>
    </w:p>
    <w:p w14:paraId="182733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售电收益可抵扣正向运行成本的78.80%，但抵扣后仍为正净成本。该经济结果没有计入本地负荷的内部售电收入，也未计折旧、资本金、融资和税费等完整财务项目；弃电成本属于评价惩罚。因此，应将其表述为给定参数下的运行评价成本，不能据此直接判断项目盈利或投资回收期。</w:t>
      </w:r>
    </w:p>
    <w:p w14:paraId="1D2F21D6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4.3 分时价格与统计一致性</w:t>
      </w:r>
    </w:p>
    <w:p w14:paraId="38E90A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时层3按同一5 min时间戳将出力与价格匹配，独立复算得到净成本16336212.46元，与软件接口一致。对较粗时层进行同时间戳价格匹配复算时，时层1、时层2净成本分别为1532.43万元、1637.04万元，与当前软件显示存在差异。代码中价格按数组位置截取、未按粗层时间戳重采样，是该口径差异的复核重点。本报告保留软件原显示值用于追溯，不据其认定时层2更经济。</w:t>
      </w:r>
    </w:p>
    <w:p w14:paraId="40659B45">
      <w:pPr>
        <w:pStyle w:val="3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 系统灵活性分析</w:t>
      </w:r>
    </w:p>
    <w:p w14:paraId="57E1C45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5.1 评价口径与全时域结果</w:t>
      </w:r>
    </w:p>
    <w:p w14:paraId="7794B94F">
      <w:pPr>
        <w:keepNext/>
        <w:spacing w:after="60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399405" cy="3359150"/>
            <wp:effectExtent l="0" t="0" r="127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3B502">
      <w:pPr>
        <w:pStyle w:val="1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图5-1 系统灵活性量化评估  前端截图</w:t>
      </w:r>
    </w:p>
    <w:p w14:paraId="53457D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本次灵活性需求来源为相邻5 min的净负荷变化；净负荷采用刚性负荷减风光可用功率。系统供给由内部设备可调能力汇总，并受POI剩余交换空间限制。灵活性裕度为同方向供给与需求之差，负值表示该方向存在缺额。此处的“充足率”表示净负荷变化需求下裕度非负的时段比例。</w:t>
      </w:r>
    </w:p>
    <w:p w14:paraId="04C829F7">
      <w:pPr>
        <w:keepNext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表5-1 系统灵活性主要指标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5"/>
        <w:gridCol w:w="2608"/>
        <w:gridCol w:w="2608"/>
      </w:tblGrid>
      <w:tr w14:paraId="3010D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9A601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指标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B073D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上调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DBA267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下调</w:t>
            </w:r>
          </w:p>
        </w:tc>
      </w:tr>
      <w:tr w14:paraId="0BE05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0AEA8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有效时点数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51A178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8640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DE6F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8640</w:t>
            </w:r>
          </w:p>
        </w:tc>
      </w:tr>
      <w:tr w14:paraId="251058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7D19F5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充足时点数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C8996A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6375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2F267B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8611</w:t>
            </w:r>
          </w:p>
        </w:tc>
      </w:tr>
      <w:tr w14:paraId="788743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B61C5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存在缺额时点数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990AF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2265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4CB70B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29</w:t>
            </w:r>
          </w:p>
        </w:tc>
      </w:tr>
      <w:tr w14:paraId="51FF5F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4E1BA6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充足时段比例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9BF15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73.78%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E211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99.66%</w:t>
            </w:r>
          </w:p>
        </w:tc>
      </w:tr>
      <w:tr w14:paraId="2F4F4E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78763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最小裕度 MW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CCAD0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−281.38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C9C84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−86.89</w:t>
            </w:r>
          </w:p>
        </w:tc>
      </w:tr>
      <w:tr w14:paraId="4FD48A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9A706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最大缺额 MW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13B86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281.38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CEC68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86.89</w:t>
            </w:r>
          </w:p>
        </w:tc>
      </w:tr>
      <w:tr w14:paraId="20AF1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19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056C0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缺额积分 MWh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B4D7BF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8166.92</w:t>
            </w:r>
          </w:p>
        </w:tc>
        <w:tc>
          <w:tcPr>
            <w:tcW w:w="260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BE3EE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63.25</w:t>
            </w:r>
          </w:p>
        </w:tc>
      </w:tr>
    </w:tbl>
    <w:p w14:paraId="084B1D57">
      <w:pPr>
        <w:spacing w:after="0"/>
        <w:rPr>
          <w:rFonts w:hint="default" w:ascii="Times New Roman" w:hAnsi="Times New Roman" w:cs="Times New Roman"/>
        </w:rPr>
      </w:pPr>
    </w:p>
    <w:p w14:paraId="5DAA18AB">
      <w:pPr>
        <w:pStyle w:val="4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5.2 调峰空间及供需不对称性</w:t>
      </w:r>
    </w:p>
    <w:p w14:paraId="17A00EF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系统上调供给范围为0～128.75 MW、平均35.20 MW，下调供给范围为59.29～424.18 MW、平均293.70 MW。两方向同时充足的时点6346个，占73.45%。虽然平均上调裕度为17.02 MW，仍有26.22%的时点存在上调缺额，说明平均值无法代替逐时点检验。</w:t>
      </w:r>
    </w:p>
    <w:p w14:paraId="01FDC76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上调不足的主要约束来自外送通道。3390个时点的上送功率达到425 MW，上调边界空间为零；按系统结果的约束标签，上调供给受POI上限约束的时点4093个，占47.37%。在这些时点，内部设备即便保有增发能力，也不能全部转换为向电网增加送出的调峰服务。</w:t>
      </w:r>
    </w:p>
    <w:p w14:paraId="7EB489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下调供给均未被POI下限截断，主要由风光降出力和储能增加充电提供。燃煤机组处于最小出力，无法继续降低；本地负荷在本次配置中没有可调能力。因此下调总体较充足，但新能源接近零出力且储能充电能力有限时，仍可出现短时缺额。</w:t>
      </w:r>
    </w:p>
    <w:p w14:paraId="49648370">
      <w:pPr>
        <w:keepNext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表5-2 关键时点的POI功率与上下调空间  单位MW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531"/>
        <w:gridCol w:w="1474"/>
        <w:gridCol w:w="1474"/>
        <w:gridCol w:w="1531"/>
        <w:gridCol w:w="1474"/>
      </w:tblGrid>
      <w:tr w14:paraId="09BF82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AD84E2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时点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3C677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POI净外送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8E5B0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上调供给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7C3F06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上调需求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91031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下调供给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30154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9"/>
              </w:rPr>
              <w:t>下调需求</w:t>
            </w:r>
          </w:p>
        </w:tc>
      </w:tr>
      <w:tr w14:paraId="47CA9D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1A038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6月1日00:00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E0C6B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345.72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4AEBB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8.98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B3456B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0.00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FEC5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324.32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A8018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0.86</w:t>
            </w:r>
          </w:p>
        </w:tc>
      </w:tr>
      <w:tr w14:paraId="570453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DC841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6月5日11:30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819A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425.00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97E9E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0.00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7123E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281.38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492C1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417.66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D52DA6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0.00</w:t>
            </w:r>
          </w:p>
        </w:tc>
      </w:tr>
      <w:tr w14:paraId="3346B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89D991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6月21日22:25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B8410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80.29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85000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68.75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0BD5E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0.00</w:t>
            </w:r>
          </w:p>
        </w:tc>
        <w:tc>
          <w:tcPr>
            <w:tcW w:w="153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3B73A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60.00</w:t>
            </w:r>
          </w:p>
        </w:tc>
        <w:tc>
          <w:tcPr>
            <w:tcW w:w="147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B33F4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9"/>
              </w:rPr>
              <w:t>146.89</w:t>
            </w:r>
          </w:p>
        </w:tc>
      </w:tr>
    </w:tbl>
    <w:p w14:paraId="12BD1663">
      <w:pPr>
        <w:spacing w:after="0"/>
        <w:rPr>
          <w:rFonts w:hint="default" w:ascii="Times New Roman" w:hAnsi="Times New Roman" w:cs="Times New Roman"/>
        </w:rPr>
      </w:pPr>
    </w:p>
    <w:p w14:paraId="65B3F5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表5-2列示三个追溯时点。系统已经对全月8640个时点分别生成上下调供给、需求、裕度和设备贡献，共17280条方向结果；各时点可调空间应读取对应记录，不能以全月峰值或平均值代替。上下调方向分别评价，其结果也不意味着两方向可同时全额调用。</w:t>
      </w:r>
    </w:p>
    <w:p w14:paraId="20BB2AA4">
      <w:pPr>
        <w:pStyle w:val="4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5.4 最大缺额事件分析</w:t>
      </w:r>
    </w:p>
    <w:p w14:paraId="31E4ADE1">
      <w:pPr>
        <w:keepNext/>
        <w:spacing w:after="60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95645" cy="3148330"/>
            <wp:effectExtent l="0" t="0" r="508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14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C6B3">
      <w:pPr>
        <w:pStyle w:val="1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图5-2 上下调最大缺额时刻及其前后一小时  据数据库结果绘制</w:t>
      </w:r>
    </w:p>
    <w:p w14:paraId="3A9F6F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最大上调缺额发生在6月5日11:30，对应累计时间107:30。该时点净外送425.00 MW，POI剩余上调空间为零。内部上调能力合计453.72 MW，其中风电444.95 MW、燃煤8.75 MW、储能约0.019 MW；经过并网边界限制后系统上调供给为零，对281.38 MW需求形成同等缺额。该事件体现的是送出通道饱和，不能通过简单相加设备能力判定系统满足上调要求。</w:t>
      </w:r>
    </w:p>
    <w:p w14:paraId="424917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最大下调缺额发生在6月21日22:25，对应累计时间502:25。该时点风电和光伏均无下调空间，燃煤机组处于105 MW最低出力；储能提供60.00 MW下调能力。系统下调需求146.89 MW，供给60.00 MW，缺额86.89 MW。POI下调剩余空间为230.29 MW，未形成瓶颈，约束来自内部设备可调能力。</w:t>
      </w:r>
    </w:p>
    <w:p w14:paraId="0695C1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上述两事件对应不同原因。上调侧应优先检查送出能力和运行中预留的外送裕度；下调侧应关注燃煤最低出力、储能可充电功率以及可调负荷配置。调整容量或控制参数后的改善幅度，需要在相同边界数据上重新计算，本报告不将这些建议表述为已经实现的提升结果。</w:t>
      </w:r>
    </w:p>
    <w:p w14:paraId="2C092625">
      <w:pPr>
        <w:pStyle w:val="3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 设备灵活性分析</w:t>
      </w:r>
    </w:p>
    <w:p w14:paraId="2522AE5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6.1 设备自身调节能力</w:t>
      </w:r>
    </w:p>
    <w:p w14:paraId="03B78FEC">
      <w:pPr>
        <w:keepNext/>
        <w:spacing w:after="60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95645" cy="3674110"/>
            <wp:effectExtent l="0" t="0" r="508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36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8A46">
      <w:pPr>
        <w:pStyle w:val="1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图6-1 风电 光伏与储能设备灵活性  前端截图</w:t>
      </w:r>
    </w:p>
    <w:p w14:paraId="0621FC4B">
      <w:pPr>
        <w:keepNext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表6-1 设备自身灵活性统计  时层3  单位MW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1757"/>
        <w:gridCol w:w="1757"/>
        <w:gridCol w:w="1757"/>
        <w:gridCol w:w="1757"/>
      </w:tblGrid>
      <w:tr w14:paraId="28545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EFEA3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设备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2EE4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上调均值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95BAA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上调峰值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EA0BF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下调均值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2F3E00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20"/>
              </w:rPr>
              <w:t>下调峰值</w:t>
            </w:r>
          </w:p>
        </w:tc>
      </w:tr>
      <w:tr w14:paraId="773860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0B2DE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风电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FBD42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48.69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2F8AB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599.47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6C590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94.67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E8AB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415.63</w:t>
            </w:r>
          </w:p>
        </w:tc>
      </w:tr>
      <w:tr w14:paraId="369E8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3825C4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光伏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7E582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0.067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58B5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16.55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82ECED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139.12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4A124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363.68</w:t>
            </w:r>
          </w:p>
        </w:tc>
      </w:tr>
      <w:tr w14:paraId="07BDF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A4548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电化学储能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D49625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43.64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520F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120.00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AA0B5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59.90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3F6C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120.00</w:t>
            </w:r>
          </w:p>
        </w:tc>
      </w:tr>
      <w:tr w14:paraId="6DA46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89B9E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燃煤机组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DE288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8.75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8AC94E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8.75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F962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0.00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C21AE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0.00</w:t>
            </w:r>
          </w:p>
        </w:tc>
      </w:tr>
      <w:tr w14:paraId="7F8BD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2D7EC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分时电负荷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7B871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0.00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E01B67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0.00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027B6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0.00</w:t>
            </w:r>
          </w:p>
        </w:tc>
        <w:tc>
          <w:tcPr>
            <w:tcW w:w="175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E73F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20"/>
              </w:rPr>
              <w:t>0.00</w:t>
            </w:r>
          </w:p>
        </w:tc>
      </w:tr>
    </w:tbl>
    <w:p w14:paraId="5DBAAB1D">
      <w:pPr>
        <w:spacing w:after="0"/>
        <w:rPr>
          <w:rFonts w:hint="default" w:ascii="Times New Roman" w:hAnsi="Times New Roman" w:cs="Times New Roman"/>
        </w:rPr>
      </w:pPr>
    </w:p>
    <w:p w14:paraId="616E85D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风电上调能力来自当前弃风的可恢复出力，下调能力来自现有发电出力可压降部分；光伏以实际发电为主要下调来源，因弃光较少，上调均值很小。风光本次未启用出力爬坡约束，表内能力不额外叠加未配置的风光响应速率限制。各设备峰值发生时刻可能不同，不能把峰值相加作为系统某一时刻的总能力。</w:t>
      </w:r>
    </w:p>
    <w:p w14:paraId="3DB1A1EF">
      <w:pPr>
        <w:pStyle w:val="4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6.2 常规电源与储能调节特性</w:t>
      </w:r>
    </w:p>
    <w:p w14:paraId="1F137585">
      <w:pPr>
        <w:keepNext/>
        <w:spacing w:after="60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59450" cy="3629660"/>
            <wp:effectExtent l="0" t="0" r="3175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2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67E8">
      <w:pPr>
        <w:pStyle w:val="1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图6-2 燃煤机组与并网边界灵活性  前端截图</w:t>
      </w:r>
    </w:p>
    <w:p w14:paraId="68C25A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燃煤机组额定容量350 MW、运行出力105 MW，静态向上容量余量为245 MW，但5 min内受0.5%/min爬坡参数限制，设备上调能力为8.75 MW；其下调能力为零。因此“尚有245 MW额定余量”不能作为5 min可上调空间直接上报。</w:t>
      </w:r>
    </w:p>
    <w:p w14:paraId="173E8A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储能自身灵活性是相对于基准净出力的变化量。在从60 MW充电切换到60 MW放电或反向切换时，净出力变化可达120 MW，因此设备灵活性峰值高于单方向额定功率60 MW并不等于储能超额定运行。是否能实现该变化仍取决于当前能量、充放电效率和评价步长。</w:t>
      </w:r>
    </w:p>
    <w:p w14:paraId="31298E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储能多数时段SOC较低，使可继续放电能力受到能量下限制约；另一方面，较低SOC保留了吸收新能源的容量空间。将SOC长期保持在下限附近有利于留出充电空间，但会压缩上调备用。这一运行取舍应与基地向电网提供的调峰服务方向共同考虑。</w:t>
      </w:r>
    </w:p>
    <w:p w14:paraId="1B4895FD">
      <w:pPr>
        <w:pStyle w:val="4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6.3 设备能力与系统供给贡献</w:t>
      </w:r>
    </w:p>
    <w:p w14:paraId="72106502">
      <w:pPr>
        <w:keepNext/>
        <w:spacing w:after="60"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795645" cy="2248535"/>
            <wp:effectExtent l="0" t="0" r="508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22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5A1A">
      <w:pPr>
        <w:pStyle w:val="15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图6-3 受并网边界限制后的设备供给贡献占比</w:t>
      </w:r>
    </w:p>
    <w:p w14:paraId="5CCB4A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系统供给取内部设备能力合计与POI边界空间的较小值，再按各设备自身能力比例分配贡献。图6-3对所有5 min时段的已分配贡献进行积分比较，用于识别各资源在当前运行点和送出条件下对系统供给的相对作用，不能理解为辅助服务收益分成。</w:t>
      </w:r>
    </w:p>
    <w:p w14:paraId="4793A8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上调供给中，储能贡献占85.87%，燃煤机组占14.13%；风电和光伏的有效上调贡献接近零。风电虽然有较大的弃电恢复能力，但这些能力出现时外送通道已被占满，因而难以形成可向电网增加送出的上调供给。设备能力大与系统可用服务空间大在本算例中并不等价。</w:t>
      </w:r>
    </w:p>
    <w:p w14:paraId="799319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下调供给贡献主要来自光伏47.37%、风电32.23%和储能20.40%。这一结构与风光当前出力可压降、储能可增加充电的物理方向相符。燃煤与刚性负荷的下调贡献为零。</w:t>
      </w:r>
    </w:p>
    <w:p w14:paraId="1969F9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从经济性与灵活性联合分析看，本次经济运行没有为调峰服务单独预留上调容量或SOC目标。追求当前时段的售电与运行费用，可能占用外送通道并改变备用水平。若后续要求稳定提供</w:t>
      </w:r>
      <w:bookmarkStart w:id="0" w:name="_GoBack"/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AGC</w:t>
      </w:r>
      <w:bookmarkEnd w:id="0"/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或调峰服务，应在测试条件中明确预留空间及考核口径，并比较其对应的运行成本变化。</w:t>
      </w:r>
    </w:p>
    <w:p w14:paraId="117BFF89">
      <w:pPr>
        <w:pStyle w:val="3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 测试结果与结论</w:t>
      </w:r>
    </w:p>
    <w:p w14:paraId="19EA45CF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7.1 核验结果</w:t>
      </w:r>
    </w:p>
    <w:p w14:paraId="137C3FA2">
      <w:pPr>
        <w:keepNext/>
        <w:ind w:firstLine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19"/>
        </w:rPr>
        <w:t>表7-1 算例一主要核验项与结论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5102"/>
        <w:gridCol w:w="2381"/>
      </w:tblGrid>
      <w:tr w14:paraId="5EF39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D45E6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8"/>
              </w:rPr>
              <w:t>核验项</w:t>
            </w:r>
          </w:p>
        </w:tc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40E0C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8"/>
              </w:rPr>
              <w:t>结果依据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shd w:val="clear" w:color="auto" w:fill="E8EDF2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DD616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color w:val="000000"/>
                <w:sz w:val="18"/>
              </w:rPr>
              <w:t>结论</w:t>
            </w:r>
          </w:p>
        </w:tc>
      </w:tr>
      <w:tr w14:paraId="0AA5A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A4969B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设备及规模识别</w:t>
            </w:r>
          </w:p>
        </w:tc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E7F125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7节点8连线，风光1000 MW，燃煤350 MW，储能60 MW/200 MWh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38AD3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已核验</w:t>
            </w:r>
          </w:p>
        </w:tc>
      </w:tr>
      <w:tr w14:paraId="05A10E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DFC9D7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三层滚动配置</w:t>
            </w:r>
          </w:p>
        </w:tc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63C20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24 h/60 min/24 h；4 h/15 min/2 h；1 h/5 min/30 min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65EB7F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已核验</w:t>
            </w:r>
          </w:p>
        </w:tc>
      </w:tr>
      <w:tr w14:paraId="0E59A4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B038D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统计区间完整性</w:t>
            </w:r>
          </w:p>
        </w:tc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F061B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裁剪后720、2880、8640个点，无缺口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3DD0E8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满足本次数据完整性检查</w:t>
            </w:r>
          </w:p>
        </w:tc>
      </w:tr>
      <w:tr w14:paraId="28E40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6BAF07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母线电力平衡</w:t>
            </w:r>
          </w:p>
        </w:tc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1FEC96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三层最大绝对残差均小于1.2×10⁻¹⁰ kW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9B1CF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满足数值平衡检查</w:t>
            </w:r>
          </w:p>
        </w:tc>
      </w:tr>
      <w:tr w14:paraId="3638E7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A1297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缺额与过剩</w:t>
            </w:r>
          </w:p>
        </w:tc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B8D282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时层3缺额为0，过剩仅数值噪声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66FCF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运行平衡未依赖有效松弛量</w:t>
            </w:r>
          </w:p>
        </w:tc>
      </w:tr>
      <w:tr w14:paraId="1ECB2F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730AA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储能边界与递推</w:t>
            </w:r>
          </w:p>
        </w:tc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66620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5分钟层SOC和功率未越界，充放电互斥，能量递推残差近零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2DB7B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满足该层核验</w:t>
            </w:r>
          </w:p>
        </w:tc>
      </w:tr>
      <w:tr w14:paraId="3ADCA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F31D8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POI净功率范围</w:t>
            </w:r>
          </w:p>
        </w:tc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D557B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净外送67.02～425.00 MW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EB304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满足−150～425 MW边界</w:t>
            </w:r>
          </w:p>
        </w:tc>
      </w:tr>
      <w:tr w14:paraId="51F21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4AC77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运行经济性</w:t>
            </w:r>
          </w:p>
        </w:tc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19CCCF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时层3净成本1633.62万元，按时间戳复算一致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45C5F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主分析层一致</w:t>
            </w:r>
          </w:p>
        </w:tc>
      </w:tr>
      <w:tr w14:paraId="6C055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04466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灵活性输出完整性</w:t>
            </w:r>
          </w:p>
        </w:tc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D3D62E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上下调各8640条，设备贡献可追溯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30699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已生成完整评价结果</w:t>
            </w:r>
          </w:p>
        </w:tc>
      </w:tr>
      <w:tr w14:paraId="7E9A0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2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9FCE3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灵活性充足性</w:t>
            </w:r>
          </w:p>
        </w:tc>
        <w:tc>
          <w:tcPr>
            <w:tcW w:w="5102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BD71B">
            <w:pPr>
              <w:spacing w:before="40" w:after="40" w:line="264" w:lineRule="auto"/>
              <w:ind w:firstLine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上调73.78%、下调99.66%，双向73.45%</w:t>
            </w:r>
          </w:p>
        </w:tc>
        <w:tc>
          <w:tcPr>
            <w:tcW w:w="2381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74824">
            <w:pPr>
              <w:spacing w:before="40" w:after="40" w:line="264" w:lineRule="auto"/>
              <w:ind w:firstLine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color w:val="000000"/>
                <w:sz w:val="18"/>
              </w:rPr>
              <w:t>存在缺额，不是全时域充足</w:t>
            </w:r>
          </w:p>
        </w:tc>
      </w:tr>
    </w:tbl>
    <w:p w14:paraId="6FFA30D1">
      <w:pPr>
        <w:spacing w:after="0"/>
        <w:rPr>
          <w:rFonts w:hint="default" w:ascii="Times New Roman" w:hAnsi="Times New Roman" w:cs="Times New Roman"/>
        </w:rPr>
      </w:pPr>
    </w:p>
    <w:p w14:paraId="636EA884">
      <w:pPr>
        <w:pStyle w:val="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7.2 算例结论</w:t>
      </w:r>
    </w:p>
    <w:p w14:paraId="18EAB7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在给定风光资源、负荷与价格边界下，算例一完成了三时间尺度离线运行计算，能够输出发电出力、电力电量平衡、运行经济性以及逐时点系统和设备灵活性。5分钟层供用电平衡成立，新能源消纳率82.74%，净外送220782.81 MWh，净运行评价成本1633.62万元。</w:t>
      </w:r>
    </w:p>
    <w:p w14:paraId="10CF3BE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基地上调调峰能力明显弱于下调能力。上调主要受外送通道和储能可用能量限制，下调主要依靠新能源降出力及储能充电。该结果支持识别瓶颈和定位缺额时段。</w:t>
      </w:r>
    </w:p>
    <w:p w14:paraId="3FE460AA">
      <w:pPr>
        <w:pStyle w:val="4"/>
        <w:pageBreakBefore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7.3 后续专项复测建议</w:t>
      </w:r>
    </w:p>
    <w:p w14:paraId="4E134F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针对大型集中式基地的完整应用要求，对已出现的调峰缺额，可设置“外送裕度预留”“燃煤最低出力调整”“储能SOC与充电功率调整”等对照工况。各对照工况应使用相同边界序列和相同统计范围，比较净运行成本、新能源消纳率、上下调充足率及最大缺额，形成成本与调峰能力的量化取舍。当前尚无此类对照运行结果，故本报告不计算其提升百分比。</w:t>
      </w:r>
    </w:p>
    <w:p w14:paraId="13C017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经济性模块应重点复核较粗时层的价格时间戳匹配，再使用各层经济性横向比较。对电网购售电是否允许同一时点同时为正，也应依据实际并网与结算规则确定。本次记录的同时购售电现象不影响母线净功率平衡检查，但会影响对交易方向与费用的解释。</w:t>
      </w:r>
    </w:p>
    <w:p w14:paraId="39C3DF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 w:val="0"/>
          <w:color w:val="000000"/>
          <w:sz w:val="22"/>
        </w:rPr>
        <w:t>本报告采用5分钟层作为统一运行轨迹。较粗层的滚动窗口覆盖结果不直接用于全月储能效率评价；后续若要求三层均形成可执行的连续轨迹，应单独检验滚动切换点的SOC承接，再开展跨时层调度效果对比。</w:t>
      </w:r>
    </w:p>
    <w:p w14:paraId="32E35C56">
      <w:pPr>
        <w:spacing w:line="276" w:lineRule="auto"/>
        <w:ind w:firstLine="0"/>
        <w:rPr>
          <w:rFonts w:hint="default" w:ascii="Times New Roman" w:hAnsi="Times New Roman" w:cs="Times New Roman"/>
        </w:rPr>
      </w:pPr>
    </w:p>
    <w:sectPr>
      <w:footerReference r:id="rId5" w:type="default"/>
      <w:pgSz w:w="11906" w:h="16838"/>
      <w:pgMar w:top="1191" w:right="1247" w:bottom="1077" w:left="1247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D2B999">
    <w:pPr>
      <w:pStyle w:val="24"/>
      <w:ind w:firstLine="0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—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Times New Roman" w:hAnsi="Times New Roman" w:eastAsia="宋体"/>
        <w:b w:val="0"/>
        <w:color w:val="000000"/>
        <w:sz w:val="18"/>
      </w:rPr>
      <w:t xml:space="preserve"> 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B364B5"/>
    <w:rsid w:val="0CAF051D"/>
    <w:rsid w:val="130D010A"/>
    <w:rsid w:val="1E7A186C"/>
    <w:rsid w:val="338A1DC2"/>
    <w:rsid w:val="5462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  <w:ind w:firstLine="420"/>
    </w:pPr>
    <w:rPr>
      <w:rFonts w:ascii="Times New Roman" w:hAnsi="Times New Roman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pageBreakBefore/>
      <w:spacing w:before="200" w:after="160"/>
      <w:ind w:firstLine="0"/>
      <w:outlineLvl w:val="0"/>
    </w:pPr>
    <w:rPr>
      <w:rFonts w:eastAsia="黑体" w:asciiTheme="majorAscii" w:hAnsiTheme="majorAscii" w:cstheme="majorBidi"/>
      <w:bCs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60"/>
      <w:ind w:firstLine="0"/>
      <w:outlineLvl w:val="1"/>
    </w:pPr>
    <w:rPr>
      <w:rFonts w:eastAsia="黑体" w:asciiTheme="majorAscii" w:hAnsiTheme="majorAscii" w:cstheme="majorBidi"/>
      <w:bCs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60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after="140" w:line="264" w:lineRule="auto"/>
      <w:ind w:firstLine="0"/>
    </w:pPr>
    <w:rPr>
      <w:rFonts w:ascii="Times New Roman" w:hAnsi="Times New Roman" w:eastAsia="宋体"/>
      <w:b/>
      <w:bCs/>
      <w:color w:val="000000"/>
      <w:sz w:val="22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Times New Roman" w:hAnsi="Times New Roman" w:eastAsia="宋体"/>
      <w:color w:val="000000"/>
      <w:sz w:val="22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2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link w:val="3"/>
    <w:qFormat/>
    <w:uiPriority w:val="9"/>
    <w:rPr>
      <w:rFonts w:eastAsia="黑体" w:asciiTheme="majorAscii" w:hAnsiTheme="majorAscii" w:cstheme="majorBidi"/>
      <w:bCs/>
      <w:color w:val="000000"/>
      <w:sz w:val="32"/>
      <w:szCs w:val="28"/>
      <w:lang w:val="en-US" w:eastAsia="en-US" w:bidi="ar-SA"/>
    </w:rPr>
  </w:style>
  <w:style w:type="character" w:customStyle="1" w:styleId="139">
    <w:name w:val="Heading 2 Char"/>
    <w:link w:val="4"/>
    <w:uiPriority w:val="9"/>
    <w:rPr>
      <w:rFonts w:eastAsia="黑体" w:asciiTheme="majorAscii" w:hAnsiTheme="majorAscii" w:cstheme="majorBidi"/>
      <w:bCs/>
      <w:color w:val="000000"/>
      <w:sz w:val="26"/>
      <w:szCs w:val="26"/>
      <w:lang w:val="en-US" w:eastAsia="en-US" w:bidi="ar-SA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8891</Words>
  <Characters>11232</Characters>
  <Lines>0</Lines>
  <Paragraphs>0</Paragraphs>
  <TotalTime>55</TotalTime>
  <ScaleCrop>false</ScaleCrop>
  <LinksUpToDate>false</LinksUpToDate>
  <CharactersWithSpaces>11517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于恺</dc:creator>
  <dc:description>generated by python-docx</dc:description>
  <cp:keywords>case1 大型集中式新能源基地 运行经济性 系统灵活性</cp:keywords>
  <cp:lastModifiedBy>于恺</cp:lastModifiedBy>
  <dcterms:modified xsi:type="dcterms:W3CDTF">2026-10-23T02:14:47Z</dcterms:modified>
  <dc:subject>算例一 大型集中式新能源发电基地</dc:subject>
  <dc:title>新能源发电灵活性量化评估软件测试报告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eyJoZGlkIjoiMjQ2OTk1MDI5NThkMzU1ZGQ5ZDJjOTRmNDlmZmQ5M2UiLCJ1c2VySWQiOiIxNzQ2OTEwODQ2In0=</vt:lpwstr>
  </property>
  <property fmtid="{D5CDD505-2E9C-101B-9397-08002B2CF9AE}" pid="3" name="KSOProductBuildVer">
    <vt:lpwstr>2052-12.1.0.29161</vt:lpwstr>
  </property>
  <property fmtid="{D5CDD505-2E9C-101B-9397-08002B2CF9AE}" pid="4" name="ICV">
    <vt:lpwstr>57F1D2DF173D4D08A7BCD4690B741D21_12</vt:lpwstr>
  </property>
</Properties>
</file>