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21" w:rsidRDefault="00223D21">
      <w:pPr>
        <w:rPr>
          <w:b/>
        </w:rPr>
      </w:pPr>
    </w:p>
    <w:p w:rsidR="007C332E" w:rsidRPr="007C332E" w:rsidRDefault="007C332E">
      <w:pPr>
        <w:rPr>
          <w:b/>
        </w:rPr>
      </w:pPr>
      <w:r w:rsidRPr="007C332E">
        <w:rPr>
          <w:b/>
        </w:rPr>
        <w:t>5.2.5  Repeated Measures in SPSS</w:t>
      </w:r>
    </w:p>
    <w:p w:rsidR="007C332E" w:rsidRDefault="007C332E"/>
    <w:p w:rsidR="007C332E" w:rsidRDefault="007C332E">
      <w:r>
        <w:t>We will demonstrate the equivalent procedure (in SPSS) to PROC MIXED in SAS by analyzing the dental measurements of Pothaff and Roy (1964).  The same analysis</w:t>
      </w:r>
      <w:r w:rsidR="00FF171A">
        <w:t>,</w:t>
      </w:r>
      <w:r>
        <w:t xml:space="preserve"> using SAS</w:t>
      </w:r>
      <w:r w:rsidR="00FF171A">
        <w:t>,</w:t>
      </w:r>
      <w:r>
        <w:t xml:space="preserve"> </w:t>
      </w:r>
      <w:r w:rsidR="00282EB7">
        <w:t>is</w:t>
      </w:r>
      <w:r>
        <w:t xml:space="preserve"> presented in 5.2.3.  </w:t>
      </w:r>
    </w:p>
    <w:p w:rsidR="007C332E" w:rsidRDefault="007C332E"/>
    <w:p w:rsidR="00583AB2" w:rsidRDefault="005A09FD">
      <w:r>
        <w:t>The procedure can be obtained by going to</w:t>
      </w:r>
      <w:r w:rsidR="00E23948">
        <w:t xml:space="preserve"> Analyze &gt; Mixed Models &gt; Linear.  </w:t>
      </w:r>
    </w:p>
    <w:p w:rsidR="00D256D3" w:rsidRDefault="00D256D3"/>
    <w:p w:rsidR="00D256D3" w:rsidRDefault="00D256D3">
      <w:r>
        <w:t>Step 1.  In the first screen that appears, specify the subject factor.  The subject factor identifies the experimental unit</w:t>
      </w:r>
      <w:r w:rsidR="00BA7C47">
        <w:t>s</w:t>
      </w:r>
      <w:r>
        <w:t xml:space="preserve"> on which the </w:t>
      </w:r>
      <w:r w:rsidR="006431B3">
        <w:t>measurements</w:t>
      </w:r>
      <w:r>
        <w:t xml:space="preserve"> are taken.  In the dental </w:t>
      </w:r>
      <w:r w:rsidR="00567E9B">
        <w:t xml:space="preserve">example, this factor is called </w:t>
      </w:r>
      <w:r w:rsidR="00567E9B" w:rsidRPr="00C33807">
        <w:rPr>
          <w:rFonts w:ascii="Courier New" w:hAnsi="Courier New" w:cs="Courier New"/>
          <w:sz w:val="22"/>
          <w:szCs w:val="22"/>
        </w:rPr>
        <w:t>person</w:t>
      </w:r>
      <w:r>
        <w:t xml:space="preserve">.  </w:t>
      </w:r>
    </w:p>
    <w:p w:rsidR="00384031" w:rsidRDefault="00384031"/>
    <w:p w:rsidR="00384031" w:rsidRDefault="00384031"/>
    <w:p w:rsidR="00B13960" w:rsidRDefault="00B13960"/>
    <w:p w:rsidR="00357E41" w:rsidRDefault="00C47DFD" w:rsidP="0035119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997960" cy="345567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188" t="17500" r="28125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41" w:rsidRDefault="00357E41"/>
    <w:p w:rsidR="00357E41" w:rsidRDefault="00357E41"/>
    <w:p w:rsidR="00384031" w:rsidRDefault="00384031"/>
    <w:p w:rsidR="00384031" w:rsidRDefault="00384031"/>
    <w:p w:rsidR="00384031" w:rsidRDefault="00384031"/>
    <w:p w:rsidR="00384031" w:rsidRDefault="00384031"/>
    <w:p w:rsidR="00384031" w:rsidRDefault="00384031"/>
    <w:p w:rsidR="00384031" w:rsidRDefault="00384031"/>
    <w:p w:rsidR="00384031" w:rsidRDefault="00384031"/>
    <w:p w:rsidR="00384031" w:rsidRDefault="00384031"/>
    <w:p w:rsidR="00384031" w:rsidRDefault="00384031"/>
    <w:p w:rsidR="00384031" w:rsidRDefault="00384031"/>
    <w:p w:rsidR="00384031" w:rsidRDefault="00384031"/>
    <w:p w:rsidR="00567E9B" w:rsidRDefault="006932B5">
      <w:r>
        <w:lastRenderedPageBreak/>
        <w:t>S</w:t>
      </w:r>
      <w:r w:rsidR="00B13960">
        <w:t>tep 2.  Specify the factor that is repeated.  The repeated factor is the variable that is used to designate the repeated measurements for</w:t>
      </w:r>
      <w:r w:rsidR="00567E9B">
        <w:t xml:space="preserve"> each subject.   This is the </w:t>
      </w:r>
      <w:r w:rsidR="00B13960" w:rsidRPr="00567E9B">
        <w:rPr>
          <w:rFonts w:ascii="Courier New" w:hAnsi="Courier New" w:cs="Courier New"/>
          <w:sz w:val="22"/>
          <w:szCs w:val="22"/>
        </w:rPr>
        <w:t>age</w:t>
      </w:r>
      <w:r w:rsidR="00E46DE9">
        <w:t xml:space="preserve"> variable in the dental example, since measurements are taken at 8, 10, 12, and 14 years of age.</w:t>
      </w:r>
    </w:p>
    <w:p w:rsidR="00351192" w:rsidRDefault="00351192"/>
    <w:p w:rsidR="00351192" w:rsidRDefault="00C47DFD" w:rsidP="0035119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27780" cy="3232150"/>
            <wp:effectExtent l="1905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4375" r="937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92" w:rsidRDefault="00351192"/>
    <w:p w:rsidR="00E65AD2" w:rsidRDefault="00E65AD2"/>
    <w:p w:rsidR="00C27708" w:rsidRDefault="00567E9B">
      <w:r>
        <w:t>Step 3.  Once the repeated factor is specified, the box titled “Repeated Covaria</w:t>
      </w:r>
      <w:r w:rsidR="00C33807">
        <w:t xml:space="preserve">nce Type” is available.  There are several structures available to model the </w:t>
      </w:r>
      <w:r w:rsidR="00343486">
        <w:t>covariance</w:t>
      </w:r>
      <w:r w:rsidR="00C33807">
        <w:t xml:space="preserve"> between repeated measurements for a subject.  As in the analysis of the dental measurements using SAS’s </w:t>
      </w:r>
      <w:r w:rsidR="00C33807" w:rsidRPr="00C33807">
        <w:t>PROC MIXED</w:t>
      </w:r>
      <w:r w:rsidR="00C33807">
        <w:t>, we will choose</w:t>
      </w:r>
      <w:r w:rsidR="000C0AFF">
        <w:t xml:space="preserve"> </w:t>
      </w:r>
      <w:r w:rsidR="000C0AFF" w:rsidRPr="000C0AFF">
        <w:rPr>
          <w:rFonts w:ascii="Courier New" w:hAnsi="Courier New" w:cs="Courier New"/>
          <w:sz w:val="22"/>
          <w:szCs w:val="22"/>
        </w:rPr>
        <w:t>Compound Symmetry</w:t>
      </w:r>
      <w:r w:rsidR="000C0AFF">
        <w:t>.</w:t>
      </w:r>
      <w:r w:rsidR="00B6793D">
        <w:t xml:space="preserve">  Click continue.  </w:t>
      </w:r>
    </w:p>
    <w:p w:rsidR="00343486" w:rsidRDefault="00343486"/>
    <w:p w:rsidR="00351192" w:rsidRDefault="00C47DFD" w:rsidP="0035119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689350" cy="31470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4375" r="937" b="4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92" w:rsidRDefault="00351192"/>
    <w:p w:rsidR="00B6793D" w:rsidRDefault="00B6793D">
      <w:r>
        <w:lastRenderedPageBreak/>
        <w:t xml:space="preserve">Step 4.  The next window is the same window that is used to select </w:t>
      </w:r>
      <w:r w:rsidR="00A5337A">
        <w:t>the factors</w:t>
      </w:r>
      <w:r>
        <w:t xml:space="preserve"> for a mixed effects model (demonstrated in 2.2.2).  Here, we define the dependent variable and factors.</w:t>
      </w:r>
      <w:r w:rsidR="00FE67B8">
        <w:t xml:space="preserve">  Because both of the factors (</w:t>
      </w:r>
      <w:r w:rsidR="00FE67B8" w:rsidRPr="00FE67B8">
        <w:rPr>
          <w:rFonts w:ascii="Courier" w:hAnsi="Courier"/>
          <w:sz w:val="22"/>
          <w:szCs w:val="22"/>
        </w:rPr>
        <w:t>gender</w:t>
      </w:r>
      <w:r w:rsidR="00FE67B8">
        <w:t xml:space="preserve"> and </w:t>
      </w:r>
      <w:r w:rsidR="00FE67B8" w:rsidRPr="00FE67B8">
        <w:rPr>
          <w:rFonts w:ascii="Courier" w:hAnsi="Courier"/>
          <w:sz w:val="22"/>
          <w:szCs w:val="22"/>
        </w:rPr>
        <w:t>age</w:t>
      </w:r>
      <w:r w:rsidR="006A4645">
        <w:t>) are fixed, click on the “F</w:t>
      </w:r>
      <w:r w:rsidR="009E359F">
        <w:t>ixe</w:t>
      </w:r>
      <w:r w:rsidR="00C82175">
        <w:t>d</w:t>
      </w:r>
      <w:r w:rsidR="009E359F">
        <w:t xml:space="preserve">” button at the bottom of the window.  </w:t>
      </w:r>
    </w:p>
    <w:p w:rsidR="000A585D" w:rsidRDefault="000A585D"/>
    <w:p w:rsidR="000A585D" w:rsidRDefault="00C47DFD" w:rsidP="000A58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976370" cy="323215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1563" b="47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3D" w:rsidRDefault="00B6793D"/>
    <w:p w:rsidR="00B6793D" w:rsidRDefault="00B6793D">
      <w:r>
        <w:t>Step 5.  Define the fixed factor(s).  In our example, both factors are fixed.  For a full factorial design, click on the first variable (</w:t>
      </w:r>
      <w:r w:rsidRPr="00B6793D">
        <w:rPr>
          <w:rFonts w:ascii="Courier New" w:hAnsi="Courier New" w:cs="Courier New"/>
          <w:sz w:val="22"/>
          <w:szCs w:val="22"/>
        </w:rPr>
        <w:t>gender</w:t>
      </w:r>
      <w:r>
        <w:t>), hold down the shift button on the keyboard, and then click on the next variable (</w:t>
      </w:r>
      <w:r w:rsidRPr="00B6793D">
        <w:rPr>
          <w:rFonts w:ascii="Courier New" w:hAnsi="Courier New" w:cs="Courier New"/>
          <w:sz w:val="22"/>
          <w:szCs w:val="22"/>
        </w:rPr>
        <w:t>age</w:t>
      </w:r>
      <w:r>
        <w:t xml:space="preserve">).  Both variables should be highlighted.  Then select Factorial from the drop down menu between the two main boxes and click Add.  </w:t>
      </w:r>
      <w:r w:rsidR="00DB0F40">
        <w:t>Click Continue</w:t>
      </w:r>
      <w:r w:rsidR="00CA5C2F">
        <w:t xml:space="preserve"> and then OK</w:t>
      </w:r>
      <w:r w:rsidR="00DB0F40">
        <w:t xml:space="preserve">.  </w:t>
      </w:r>
    </w:p>
    <w:p w:rsidR="000A585D" w:rsidRDefault="000A585D"/>
    <w:p w:rsidR="000A585D" w:rsidRDefault="00C47DFD" w:rsidP="00E55DD5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465955" cy="31045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4063" r="937" b="4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47" w:rsidRDefault="00D53747" w:rsidP="00A643AC"/>
    <w:p w:rsidR="00583AB2" w:rsidRDefault="005C1C0D" w:rsidP="00A643AC">
      <w:pPr>
        <w:rPr>
          <w:rFonts w:ascii="Arial" w:hAnsi="Arial" w:cs="Arial"/>
          <w:color w:val="000000"/>
          <w:sz w:val="18"/>
          <w:szCs w:val="18"/>
        </w:rPr>
      </w:pPr>
      <w:r>
        <w:t>Note:  One can request that pairwise comparisons of the means for the fixed factor(s) be displayed</w:t>
      </w:r>
      <w:r w:rsidR="007B63EF">
        <w:t xml:space="preserve"> by following the steps on page 6 of this manual.  </w:t>
      </w:r>
    </w:p>
    <w:p w:rsidR="00583AB2" w:rsidRDefault="00583AB2"/>
    <w:p w:rsidR="00583AB2" w:rsidRDefault="00C47DFD" w:rsidP="00A643AC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en-US"/>
        </w:rPr>
        <w:drawing>
          <wp:inline distT="0" distB="0" distL="0" distR="0">
            <wp:extent cx="4178300" cy="16376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B2" w:rsidRPr="00A643AC" w:rsidRDefault="00A643AC" w:rsidP="00A643AC">
      <w:pPr>
        <w:autoSpaceDE w:val="0"/>
        <w:autoSpaceDN w:val="0"/>
        <w:adjustRightInd w:val="0"/>
        <w:jc w:val="center"/>
        <w:rPr>
          <w:rFonts w:ascii="System" w:hAnsi="System" w:cs="System"/>
          <w:bCs/>
          <w:sz w:val="20"/>
          <w:szCs w:val="20"/>
        </w:rPr>
      </w:pPr>
      <w:r w:rsidRPr="00A643AC">
        <w:rPr>
          <w:rFonts w:ascii="System" w:hAnsi="System" w:cs="System"/>
          <w:bCs/>
          <w:sz w:val="20"/>
          <w:szCs w:val="20"/>
        </w:rPr>
        <w:t xml:space="preserve">Figure </w:t>
      </w:r>
      <w:r w:rsidR="0018093E">
        <w:rPr>
          <w:rFonts w:ascii="System" w:hAnsi="System" w:cs="System"/>
          <w:bCs/>
          <w:sz w:val="20"/>
          <w:szCs w:val="20"/>
        </w:rPr>
        <w:t>1</w:t>
      </w:r>
      <w:r w:rsidRPr="00A643AC">
        <w:rPr>
          <w:rFonts w:ascii="System" w:hAnsi="System" w:cs="System"/>
          <w:bCs/>
          <w:sz w:val="20"/>
          <w:szCs w:val="20"/>
        </w:rPr>
        <w:t>.  Tests of Fixed Factors</w:t>
      </w:r>
    </w:p>
    <w:p w:rsidR="00583AB2" w:rsidRDefault="00583AB2"/>
    <w:p w:rsidR="00A643AC" w:rsidRDefault="00A643AC">
      <w:r>
        <w:t xml:space="preserve">Figure </w:t>
      </w:r>
      <w:r w:rsidR="0018093E">
        <w:t>1</w:t>
      </w:r>
      <w:r>
        <w:t xml:space="preserve"> shows that</w:t>
      </w:r>
      <w:r w:rsidR="009245EF">
        <w:t xml:space="preserve">, </w:t>
      </w:r>
      <w:r w:rsidR="00B552B8">
        <w:t>using</w:t>
      </w:r>
      <w:r w:rsidR="009245EF" w:rsidRPr="00521DA8"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4.35pt;height:14.25pt" o:ole="">
            <v:imagedata r:id="rId12" o:title=""/>
          </v:shape>
          <o:OLEObject Type="Embed" ProgID="Equation.DSMT4" ShapeID="_x0000_i1041" DrawAspect="Content" ObjectID="_1426151886" r:id="rId13"/>
        </w:object>
      </w:r>
      <w:r w:rsidR="009245EF">
        <w:t>, there are differences in gender (p=0.005) and age (p=0.000), but that there is no significant interaction between gender and age (p=0.078).</w:t>
      </w:r>
      <w:r w:rsidR="00AE6CD2">
        <w:t xml:space="preserve">  </w:t>
      </w:r>
    </w:p>
    <w:p w:rsidR="00583AB2" w:rsidRDefault="00583AB2"/>
    <w:p w:rsidR="00583AB2" w:rsidRDefault="00C47DFD" w:rsidP="00A643AC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en-US"/>
        </w:rPr>
        <w:drawing>
          <wp:inline distT="0" distB="0" distL="0" distR="0">
            <wp:extent cx="3933825" cy="114808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B2" w:rsidRPr="00A643AC" w:rsidRDefault="00C23F01" w:rsidP="00A643AC">
      <w:pPr>
        <w:autoSpaceDE w:val="0"/>
        <w:autoSpaceDN w:val="0"/>
        <w:adjustRightInd w:val="0"/>
        <w:jc w:val="center"/>
        <w:rPr>
          <w:rFonts w:ascii="System" w:hAnsi="System" w:cs="System"/>
          <w:bCs/>
          <w:sz w:val="20"/>
          <w:szCs w:val="20"/>
        </w:rPr>
      </w:pPr>
      <w:r>
        <w:rPr>
          <w:rFonts w:ascii="System" w:hAnsi="System" w:cs="System"/>
          <w:bCs/>
          <w:sz w:val="20"/>
          <w:szCs w:val="20"/>
        </w:rPr>
        <w:t xml:space="preserve">Figure </w:t>
      </w:r>
      <w:r w:rsidR="0018093E">
        <w:rPr>
          <w:rFonts w:ascii="System" w:hAnsi="System" w:cs="System"/>
          <w:bCs/>
          <w:sz w:val="20"/>
          <w:szCs w:val="20"/>
        </w:rPr>
        <w:t>2</w:t>
      </w:r>
      <w:r>
        <w:rPr>
          <w:rFonts w:ascii="System" w:hAnsi="System" w:cs="System"/>
          <w:bCs/>
          <w:sz w:val="20"/>
          <w:szCs w:val="20"/>
        </w:rPr>
        <w:t>.  Estimated covariance parameters</w:t>
      </w:r>
    </w:p>
    <w:p w:rsidR="00583AB2" w:rsidRDefault="00583AB2"/>
    <w:p w:rsidR="00E2059A" w:rsidRDefault="00E2059A">
      <w:r>
        <w:t xml:space="preserve">Figure </w:t>
      </w:r>
      <w:r w:rsidR="0018093E">
        <w:t>2</w:t>
      </w:r>
      <w:r>
        <w:t xml:space="preserve"> pr</w:t>
      </w:r>
      <w:r w:rsidR="00C23F01">
        <w:t>esents the estimated covariance parameters</w:t>
      </w:r>
      <w:r w:rsidR="00713CBE">
        <w:t>.  C</w:t>
      </w:r>
      <w:r>
        <w:t xml:space="preserve">ompound symmetry </w:t>
      </w:r>
      <w:r w:rsidR="00713CBE">
        <w:t>was used to</w:t>
      </w:r>
      <w:r>
        <w:t xml:space="preserve"> model the </w:t>
      </w:r>
      <w:r w:rsidR="00954CD8">
        <w:t>covariance</w:t>
      </w:r>
      <w:r>
        <w:t xml:space="preserve"> between measurements at different ages.</w:t>
      </w:r>
      <w:r w:rsidR="007D264E">
        <w:t xml:space="preserve">  From the table, the variance of the measurements for a subject at a particular age </w:t>
      </w:r>
      <w:r w:rsidR="00AB4C32">
        <w:t>is</w:t>
      </w:r>
      <w:r w:rsidR="00684C0B" w:rsidRPr="00684C0B">
        <w:rPr>
          <w:position w:val="-6"/>
        </w:rPr>
        <w:object w:dxaOrig="2500" w:dyaOrig="320">
          <v:shape id="_x0000_i1043" type="#_x0000_t75" style="width:124.75pt;height:15.9pt" o:ole="">
            <v:imagedata r:id="rId15" o:title=""/>
          </v:shape>
          <o:OLEObject Type="Embed" ProgID="Equation.DSMT4" ShapeID="_x0000_i1043" DrawAspect="Content" ObjectID="_1426151887" r:id="rId16"/>
        </w:object>
      </w:r>
      <w:r w:rsidR="007D264E">
        <w:t xml:space="preserve"> and the covariance between </w:t>
      </w:r>
      <w:r w:rsidR="008E374C">
        <w:t xml:space="preserve">measurements taken at two different ages </w:t>
      </w:r>
      <w:r w:rsidR="009C0F28">
        <w:t>is</w:t>
      </w:r>
      <w:r w:rsidR="00442F32" w:rsidRPr="00183C8A">
        <w:rPr>
          <w:position w:val="-12"/>
        </w:rPr>
        <w:object w:dxaOrig="1120" w:dyaOrig="380">
          <v:shape id="_x0000_i1044" type="#_x0000_t75" style="width:56.1pt;height:19.25pt" o:ole="">
            <v:imagedata r:id="rId17" o:title=""/>
          </v:shape>
          <o:OLEObject Type="Embed" ProgID="Equation.DSMT4" ShapeID="_x0000_i1044" DrawAspect="Content" ObjectID="_1426151888" r:id="rId18"/>
        </w:object>
      </w:r>
      <w:r w:rsidR="008E374C">
        <w:t>.  Because we specified compound symmetry</w:t>
      </w:r>
      <w:r w:rsidR="002F1F20">
        <w:t xml:space="preserve"> as the </w:t>
      </w:r>
      <w:r w:rsidR="003D1618">
        <w:t>covariance</w:t>
      </w:r>
      <w:r w:rsidR="002F1F20">
        <w:t xml:space="preserve"> structure for the repeated measurements</w:t>
      </w:r>
      <w:r w:rsidR="008E374C">
        <w:t>, the covariance estimate of 3.285 is the same regardless of the two ages.</w:t>
      </w:r>
      <w:r w:rsidR="00617574">
        <w:t xml:space="preserve">  </w:t>
      </w:r>
      <w:r w:rsidR="00FF5535">
        <w:t xml:space="preserve">From these estimates, we </w:t>
      </w:r>
      <w:r w:rsidR="00DE5A4B">
        <w:t>can</w:t>
      </w:r>
      <w:r w:rsidR="00FF5535">
        <w:t xml:space="preserve"> estimate the correlation between measurements taken at different ages.  From 5.1.3, the estimate (sometimes known as the intra-class correlation coefficient) </w:t>
      </w:r>
      <w:r w:rsidR="00F22DA3">
        <w:t>is</w:t>
      </w:r>
      <w:r w:rsidR="00FF5535" w:rsidRPr="00FF5535">
        <w:rPr>
          <w:position w:val="-30"/>
        </w:rPr>
        <w:object w:dxaOrig="3400" w:dyaOrig="720">
          <v:shape id="_x0000_i1045" type="#_x0000_t75" style="width:169.95pt;height:36pt" o:ole="">
            <v:imagedata r:id="rId19" o:title=""/>
          </v:shape>
          <o:OLEObject Type="Embed" ProgID="Equation.DSMT4" ShapeID="_x0000_i1045" DrawAspect="Content" ObjectID="_1426151889" r:id="rId20"/>
        </w:object>
      </w:r>
      <w:r w:rsidR="00FF5535">
        <w:t>.</w:t>
      </w:r>
      <w:r w:rsidR="002F09A9">
        <w:t xml:space="preserve">  </w:t>
      </w:r>
      <w:r w:rsidR="008E374C">
        <w:t xml:space="preserve">  </w:t>
      </w:r>
      <w:r w:rsidR="007D264E">
        <w:t xml:space="preserve"> </w:t>
      </w:r>
      <w:r>
        <w:t xml:space="preserve">  </w:t>
      </w:r>
    </w:p>
    <w:p w:rsidR="00E2059A" w:rsidRDefault="00E2059A"/>
    <w:p w:rsidR="001F3300" w:rsidRDefault="001F3300"/>
    <w:p w:rsidR="001F3300" w:rsidRDefault="001F3300"/>
    <w:p w:rsidR="001F3300" w:rsidRDefault="001F3300"/>
    <w:p w:rsidR="001F3300" w:rsidRDefault="001F3300"/>
    <w:p w:rsidR="001F3300" w:rsidRDefault="001F3300"/>
    <w:p w:rsidR="001F3300" w:rsidRDefault="001F3300"/>
    <w:p w:rsidR="001F3300" w:rsidRDefault="001F3300"/>
    <w:p w:rsidR="001F3300" w:rsidRDefault="001F3300"/>
    <w:p w:rsidR="001F3300" w:rsidRDefault="001F3300"/>
    <w:p w:rsidR="001F3300" w:rsidRDefault="001F3300"/>
    <w:p w:rsidR="00D53747" w:rsidRDefault="00D53747">
      <w:pPr>
        <w:rPr>
          <w:b/>
        </w:rPr>
      </w:pPr>
    </w:p>
    <w:p w:rsidR="0065454F" w:rsidRDefault="0065454F">
      <w:r w:rsidRPr="0065454F">
        <w:rPr>
          <w:b/>
        </w:rPr>
        <w:t>First Order Aut</w:t>
      </w:r>
      <w:r w:rsidR="0052580A">
        <w:rPr>
          <w:b/>
        </w:rPr>
        <w:t>o</w:t>
      </w:r>
      <w:r w:rsidRPr="0065454F">
        <w:rPr>
          <w:b/>
        </w:rPr>
        <w:t>regressive</w:t>
      </w:r>
      <w:r>
        <w:t>.</w:t>
      </w:r>
      <w:r w:rsidR="00FC7EF9">
        <w:t xml:space="preserve">  To model the </w:t>
      </w:r>
      <w:r w:rsidR="00E331C6">
        <w:t>covariance</w:t>
      </w:r>
      <w:r w:rsidR="00FC7EF9">
        <w:t xml:space="preserve"> between measurements at any two ages, one may decide that a first order autoregressive structure is more appropriate than compound symmetry.  As mentioned in 5.1, the first order autoregressive structure, abbreviated as AR(1), has the following form</w:t>
      </w:r>
      <w:r w:rsidR="00884137">
        <w:t xml:space="preserve"> for each subject</w:t>
      </w:r>
      <w:r w:rsidR="00FC7EF9">
        <w:t xml:space="preserve">:  </w:t>
      </w:r>
    </w:p>
    <w:p w:rsidR="00FC7EF9" w:rsidRDefault="00FC7EF9"/>
    <w:p w:rsidR="00FC7EF9" w:rsidRDefault="00FC7EF9" w:rsidP="00FC7EF9">
      <w:r w:rsidRPr="00521DA8">
        <w:rPr>
          <w:position w:val="-68"/>
        </w:rPr>
        <w:object w:dxaOrig="2320" w:dyaOrig="1480">
          <v:shape id="_x0000_i1028" type="#_x0000_t75" style="width:116.35pt;height:73.65pt" o:ole="">
            <v:imagedata r:id="rId21" o:title=""/>
          </v:shape>
          <o:OLEObject Type="Embed" ProgID="Equation.DSMT4" ShapeID="_x0000_i1028" DrawAspect="Content" ObjectID="_1426151890" r:id="rId22"/>
        </w:object>
      </w:r>
      <w:r>
        <w:t xml:space="preserve">, where </w:t>
      </w:r>
      <w:r w:rsidRPr="00521DA8">
        <w:rPr>
          <w:position w:val="-10"/>
        </w:rPr>
        <w:object w:dxaOrig="240" w:dyaOrig="260">
          <v:shape id="_x0000_i1029" type="#_x0000_t75" style="width:11.7pt;height:13.4pt" o:ole="">
            <v:imagedata r:id="rId23" o:title=""/>
          </v:shape>
          <o:OLEObject Type="Embed" ProgID="Equation.DSMT4" ShapeID="_x0000_i1029" DrawAspect="Content" ObjectID="_1426151891" r:id="rId24"/>
        </w:object>
      </w:r>
      <w:r>
        <w:t xml:space="preserve"> is the correlation between</w:t>
      </w:r>
      <w:r w:rsidR="00681326">
        <w:t xml:space="preserve"> measu</w:t>
      </w:r>
      <w:r w:rsidR="006E42B6">
        <w:t>rements taken at successive age levels</w:t>
      </w:r>
      <w:r w:rsidR="00681326">
        <w:t>.</w:t>
      </w:r>
    </w:p>
    <w:p w:rsidR="0065454F" w:rsidRDefault="0065454F"/>
    <w:p w:rsidR="00EF5E61" w:rsidRDefault="00EF5E61">
      <w:r>
        <w:t xml:space="preserve">As before, to begin the analysis, go to Analyze &gt; Mixed Models &gt; Linear.  </w:t>
      </w:r>
    </w:p>
    <w:p w:rsidR="00EF5E61" w:rsidRDefault="00EF5E61"/>
    <w:p w:rsidR="00933848" w:rsidRDefault="00933848" w:rsidP="00FC7EF9">
      <w:r>
        <w:t xml:space="preserve">Steps 1 and 2 are the same as before.  </w:t>
      </w:r>
    </w:p>
    <w:p w:rsidR="00AC7CF1" w:rsidRDefault="00AC7CF1" w:rsidP="00FC7EF9"/>
    <w:p w:rsidR="00FC7EF9" w:rsidRDefault="00FC7EF9" w:rsidP="00FC7EF9">
      <w:r>
        <w:t xml:space="preserve">Step 3.  </w:t>
      </w:r>
      <w:r w:rsidR="000873C3">
        <w:t>In the</w:t>
      </w:r>
      <w:r>
        <w:t xml:space="preserve"> box titled “Repeated </w:t>
      </w:r>
      <w:r w:rsidR="000873C3">
        <w:t>Covariance Type”, c</w:t>
      </w:r>
      <w:r w:rsidR="00876F16">
        <w:t>hoose</w:t>
      </w:r>
      <w:r>
        <w:t xml:space="preserve"> </w:t>
      </w:r>
      <w:r w:rsidR="00876F16">
        <w:rPr>
          <w:rFonts w:ascii="Courier New" w:hAnsi="Courier New" w:cs="Courier New"/>
          <w:sz w:val="22"/>
          <w:szCs w:val="22"/>
        </w:rPr>
        <w:t>AR(1)</w:t>
      </w:r>
      <w:r>
        <w:t xml:space="preserve">.  Click continue.  </w:t>
      </w:r>
    </w:p>
    <w:p w:rsidR="004327CA" w:rsidRDefault="004327CA" w:rsidP="00FC7EF9"/>
    <w:p w:rsidR="004327CA" w:rsidRDefault="00C47DFD" w:rsidP="004327CA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59530" cy="331724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54375" r="937" b="4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653" w:rsidRDefault="00B71653"/>
    <w:p w:rsidR="00B71653" w:rsidRDefault="00B71653"/>
    <w:p w:rsidR="0042306B" w:rsidRDefault="003B283F">
      <w:r>
        <w:t>Steps 4 and 5</w:t>
      </w:r>
      <w:r w:rsidR="00933848">
        <w:t xml:space="preserve"> are the same as before.  </w:t>
      </w:r>
      <w:r w:rsidR="00B71653">
        <w:t xml:space="preserve">The following output is obtained.  </w:t>
      </w:r>
    </w:p>
    <w:p w:rsidR="00933848" w:rsidRDefault="00933848"/>
    <w:p w:rsidR="0042306B" w:rsidRDefault="00C47DFD" w:rsidP="00CE12A4">
      <w:pPr>
        <w:autoSpaceDE w:val="0"/>
        <w:autoSpaceDN w:val="0"/>
        <w:adjustRightInd w:val="0"/>
        <w:jc w:val="center"/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  <w:r>
        <w:rPr>
          <w:rFonts w:ascii="System" w:eastAsia="Times New Roman" w:hAnsi="System" w:cs="System"/>
          <w:b/>
          <w:bCs/>
          <w:noProof/>
          <w:sz w:val="20"/>
          <w:szCs w:val="20"/>
          <w:lang w:eastAsia="en-US"/>
        </w:rPr>
        <w:lastRenderedPageBreak/>
        <w:drawing>
          <wp:inline distT="0" distB="0" distL="0" distR="0">
            <wp:extent cx="2232660" cy="2541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2A4" w:rsidRPr="00A643AC" w:rsidRDefault="00CE12A4" w:rsidP="00CE12A4">
      <w:pPr>
        <w:autoSpaceDE w:val="0"/>
        <w:autoSpaceDN w:val="0"/>
        <w:adjustRightInd w:val="0"/>
        <w:jc w:val="center"/>
        <w:rPr>
          <w:rFonts w:ascii="System" w:hAnsi="System" w:cs="System"/>
          <w:bCs/>
          <w:sz w:val="20"/>
          <w:szCs w:val="20"/>
        </w:rPr>
      </w:pPr>
      <w:r>
        <w:rPr>
          <w:rFonts w:ascii="System" w:hAnsi="System" w:cs="System"/>
          <w:bCs/>
          <w:sz w:val="20"/>
          <w:szCs w:val="20"/>
        </w:rPr>
        <w:t>Figure 3.  Model fit information</w:t>
      </w:r>
    </w:p>
    <w:p w:rsidR="0042306B" w:rsidRDefault="0042306B" w:rsidP="0042306B">
      <w:pPr>
        <w:autoSpaceDE w:val="0"/>
        <w:autoSpaceDN w:val="0"/>
        <w:adjustRightInd w:val="0"/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</w:p>
    <w:p w:rsidR="00583AB2" w:rsidRDefault="00CE12A4">
      <w:r>
        <w:t xml:space="preserve">Figure 3 gives several measures of the model fit.  </w:t>
      </w:r>
    </w:p>
    <w:p w:rsidR="0042306B" w:rsidRDefault="00C47DFD" w:rsidP="00CE12A4">
      <w:pPr>
        <w:autoSpaceDE w:val="0"/>
        <w:autoSpaceDN w:val="0"/>
        <w:adjustRightInd w:val="0"/>
        <w:jc w:val="center"/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  <w:r>
        <w:rPr>
          <w:rFonts w:ascii="System" w:eastAsia="Times New Roman" w:hAnsi="System" w:cs="System"/>
          <w:b/>
          <w:bCs/>
          <w:noProof/>
          <w:sz w:val="20"/>
          <w:szCs w:val="20"/>
          <w:lang w:eastAsia="en-US"/>
        </w:rPr>
        <w:drawing>
          <wp:inline distT="0" distB="0" distL="0" distR="0">
            <wp:extent cx="4178300" cy="16376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6B" w:rsidRDefault="00CE12A4" w:rsidP="00CE12A4">
      <w:pPr>
        <w:autoSpaceDE w:val="0"/>
        <w:autoSpaceDN w:val="0"/>
        <w:adjustRightInd w:val="0"/>
        <w:jc w:val="center"/>
        <w:rPr>
          <w:rFonts w:ascii="System" w:hAnsi="System" w:cs="System"/>
          <w:bCs/>
          <w:sz w:val="20"/>
          <w:szCs w:val="20"/>
        </w:rPr>
      </w:pPr>
      <w:r>
        <w:rPr>
          <w:rFonts w:ascii="System" w:hAnsi="System" w:cs="System"/>
          <w:bCs/>
          <w:sz w:val="20"/>
          <w:szCs w:val="20"/>
        </w:rPr>
        <w:t>Figure 4.  Tests of Fixed Factors</w:t>
      </w:r>
    </w:p>
    <w:p w:rsidR="00006217" w:rsidRDefault="00006217" w:rsidP="0042306B">
      <w:pPr>
        <w:autoSpaceDE w:val="0"/>
        <w:autoSpaceDN w:val="0"/>
        <w:adjustRightInd w:val="0"/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</w:p>
    <w:p w:rsidR="00006217" w:rsidRDefault="00E155C5" w:rsidP="0042306B">
      <w:pPr>
        <w:autoSpaceDE w:val="0"/>
        <w:autoSpaceDN w:val="0"/>
        <w:adjustRightInd w:val="0"/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  <w:r>
        <w:rPr>
          <w:rFonts w:eastAsia="Times New Roman"/>
          <w:bCs/>
          <w:lang w:eastAsia="en-US"/>
        </w:rPr>
        <w:t>As before, t</w:t>
      </w:r>
      <w:r w:rsidR="00CE12A4" w:rsidRPr="001A2D02">
        <w:rPr>
          <w:rFonts w:eastAsia="Times New Roman"/>
          <w:bCs/>
          <w:lang w:eastAsia="en-US"/>
        </w:rPr>
        <w:t>he tests of the fixed effects shows that there are differences in gender (p=0.002) and age (</w:t>
      </w:r>
      <w:r w:rsidR="0040616F">
        <w:rPr>
          <w:rFonts w:eastAsia="Times New Roman"/>
          <w:bCs/>
          <w:lang w:eastAsia="en-US"/>
        </w:rPr>
        <w:t>p=</w:t>
      </w:r>
      <w:r w:rsidR="0025707C">
        <w:rPr>
          <w:rFonts w:eastAsia="Times New Roman"/>
          <w:bCs/>
          <w:lang w:eastAsia="en-US"/>
        </w:rPr>
        <w:t>0.000)</w:t>
      </w:r>
      <w:r w:rsidR="00CE12A4" w:rsidRPr="001A2D02">
        <w:rPr>
          <w:rFonts w:eastAsia="Times New Roman"/>
          <w:bCs/>
          <w:lang w:eastAsia="en-US"/>
        </w:rPr>
        <w:t xml:space="preserve">.  Pairwise comparisons of the levels of these factors should be </w:t>
      </w:r>
      <w:r w:rsidR="001A2D02" w:rsidRPr="001A2D02">
        <w:rPr>
          <w:rFonts w:eastAsia="Times New Roman"/>
          <w:bCs/>
          <w:lang w:eastAsia="en-US"/>
        </w:rPr>
        <w:t>performed</w:t>
      </w:r>
      <w:r w:rsidR="00CE12A4" w:rsidRPr="001A2D02">
        <w:rPr>
          <w:rFonts w:eastAsia="Times New Roman"/>
          <w:bCs/>
          <w:lang w:eastAsia="en-US"/>
        </w:rPr>
        <w:t xml:space="preserve">.  </w:t>
      </w:r>
    </w:p>
    <w:p w:rsidR="0042306B" w:rsidRDefault="00C47DFD" w:rsidP="00CE12A4">
      <w:pPr>
        <w:autoSpaceDE w:val="0"/>
        <w:autoSpaceDN w:val="0"/>
        <w:adjustRightInd w:val="0"/>
        <w:jc w:val="center"/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  <w:r>
        <w:rPr>
          <w:rFonts w:ascii="System" w:eastAsia="Times New Roman" w:hAnsi="System" w:cs="System"/>
          <w:b/>
          <w:bCs/>
          <w:noProof/>
          <w:sz w:val="20"/>
          <w:szCs w:val="20"/>
          <w:lang w:eastAsia="en-US"/>
        </w:rPr>
        <w:drawing>
          <wp:inline distT="0" distB="0" distL="0" distR="0">
            <wp:extent cx="3678555" cy="10528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17" w:rsidRDefault="00CE12A4" w:rsidP="00CE12A4">
      <w:pPr>
        <w:autoSpaceDE w:val="0"/>
        <w:autoSpaceDN w:val="0"/>
        <w:adjustRightInd w:val="0"/>
        <w:jc w:val="center"/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  <w:r>
        <w:rPr>
          <w:rFonts w:ascii="System" w:hAnsi="System" w:cs="System"/>
          <w:bCs/>
          <w:sz w:val="20"/>
          <w:szCs w:val="20"/>
        </w:rPr>
        <w:t>Figure 5.  Estimated Covariance Parameters</w:t>
      </w:r>
    </w:p>
    <w:p w:rsidR="00CA5FEE" w:rsidRDefault="00CA5FEE">
      <w:pPr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</w:p>
    <w:p w:rsidR="00CA5FEE" w:rsidRDefault="00CA5FEE">
      <w:pPr>
        <w:rPr>
          <w:rFonts w:ascii="System" w:eastAsia="Times New Roman" w:hAnsi="System" w:cs="System"/>
          <w:b/>
          <w:bCs/>
          <w:sz w:val="20"/>
          <w:szCs w:val="20"/>
          <w:lang w:eastAsia="en-US"/>
        </w:rPr>
      </w:pPr>
      <w:r w:rsidRPr="00CA5FEE">
        <w:rPr>
          <w:rFonts w:eastAsia="Times New Roman"/>
          <w:bCs/>
          <w:lang w:eastAsia="en-US"/>
        </w:rPr>
        <w:t xml:space="preserve">The </w:t>
      </w:r>
      <w:r w:rsidR="002E727F">
        <w:rPr>
          <w:rFonts w:eastAsia="Times New Roman"/>
          <w:bCs/>
          <w:lang w:eastAsia="en-US"/>
        </w:rPr>
        <w:t xml:space="preserve">estimated </w:t>
      </w:r>
      <w:r w:rsidRPr="00CA5FEE">
        <w:rPr>
          <w:rFonts w:eastAsia="Times New Roman"/>
          <w:bCs/>
          <w:lang w:eastAsia="en-US"/>
        </w:rPr>
        <w:t>variance</w:t>
      </w:r>
      <w:r w:rsidR="002E727F">
        <w:rPr>
          <w:rFonts w:eastAsia="Times New Roman"/>
          <w:bCs/>
          <w:lang w:eastAsia="en-US"/>
        </w:rPr>
        <w:t xml:space="preserve"> </w:t>
      </w:r>
      <w:r w:rsidRPr="00CA5FEE">
        <w:rPr>
          <w:rFonts w:eastAsia="Times New Roman"/>
          <w:bCs/>
          <w:lang w:eastAsia="en-US"/>
        </w:rPr>
        <w:t xml:space="preserve">of the measurements for a subject at a particular age </w:t>
      </w:r>
      <w:r w:rsidR="00756D6C" w:rsidRPr="00CA5FEE">
        <w:rPr>
          <w:rFonts w:eastAsia="Times New Roman"/>
          <w:bCs/>
          <w:lang w:eastAsia="en-US"/>
        </w:rPr>
        <w:t>is</w:t>
      </w:r>
      <w:r w:rsidR="00756D6C" w:rsidRPr="0041222C">
        <w:rPr>
          <w:position w:val="-6"/>
        </w:rPr>
        <w:object w:dxaOrig="1120" w:dyaOrig="320">
          <v:shape id="_x0000_i1034" type="#_x0000_t75" style="width:56.1pt;height:15.9pt" o:ole="">
            <v:imagedata r:id="rId29" o:title=""/>
          </v:shape>
          <o:OLEObject Type="Embed" ProgID="Equation.DSMT4" ShapeID="_x0000_i1034" DrawAspect="Content" ObjectID="_1426151892" r:id="rId30"/>
        </w:object>
      </w:r>
      <w:r w:rsidRPr="00CA5FEE">
        <w:rPr>
          <w:rFonts w:eastAsia="Times New Roman"/>
          <w:bCs/>
          <w:lang w:eastAsia="en-US"/>
        </w:rPr>
        <w:t xml:space="preserve">.  This is given in the row titled </w:t>
      </w:r>
      <w:r w:rsidR="00F118B3">
        <w:rPr>
          <w:rFonts w:eastAsia="Times New Roman"/>
          <w:bCs/>
          <w:lang w:eastAsia="en-US"/>
        </w:rPr>
        <w:t>“</w:t>
      </w:r>
      <w:r w:rsidRPr="00CA5FEE">
        <w:rPr>
          <w:rFonts w:eastAsia="Times New Roman"/>
          <w:bCs/>
          <w:lang w:eastAsia="en-US"/>
        </w:rPr>
        <w:t>AR1 diagonal</w:t>
      </w:r>
      <w:r w:rsidR="00F118B3">
        <w:rPr>
          <w:rFonts w:eastAsia="Times New Roman"/>
          <w:bCs/>
          <w:lang w:eastAsia="en-US"/>
        </w:rPr>
        <w:t>”</w:t>
      </w:r>
      <w:r w:rsidRPr="00CA5FEE">
        <w:rPr>
          <w:rFonts w:eastAsia="Times New Roman"/>
          <w:bCs/>
          <w:lang w:eastAsia="en-US"/>
        </w:rPr>
        <w:t xml:space="preserve">, because it is the </w:t>
      </w:r>
      <w:r>
        <w:rPr>
          <w:rFonts w:eastAsia="Times New Roman"/>
          <w:bCs/>
          <w:lang w:eastAsia="en-US"/>
        </w:rPr>
        <w:t xml:space="preserve">entry located on the </w:t>
      </w:r>
      <w:r w:rsidRPr="00CA5FEE">
        <w:rPr>
          <w:rFonts w:eastAsia="Times New Roman"/>
          <w:bCs/>
          <w:lang w:eastAsia="en-US"/>
        </w:rPr>
        <w:t>diagonal of the covariance matrix for a subject (as previously shown).</w:t>
      </w:r>
      <w:r w:rsidR="00756D6C">
        <w:rPr>
          <w:rFonts w:eastAsia="Times New Roman"/>
          <w:bCs/>
          <w:lang w:eastAsia="en-US"/>
        </w:rPr>
        <w:t xml:space="preserve">  The estimated correlation between successive measurements is</w:t>
      </w:r>
      <w:r w:rsidR="003522BD" w:rsidRPr="0041222C">
        <w:rPr>
          <w:position w:val="-10"/>
        </w:rPr>
        <w:object w:dxaOrig="999" w:dyaOrig="340">
          <v:shape id="_x0000_i1035" type="#_x0000_t75" style="width:50.25pt;height:16.75pt" o:ole="">
            <v:imagedata r:id="rId31" o:title=""/>
          </v:shape>
          <o:OLEObject Type="Embed" ProgID="Equation.DSMT4" ShapeID="_x0000_i1035" DrawAspect="Content" ObjectID="_1426151893" r:id="rId32"/>
        </w:object>
      </w:r>
      <w:r w:rsidR="008C3DDC">
        <w:t>.</w:t>
      </w:r>
      <w:r w:rsidR="003522BD">
        <w:t xml:space="preserve">  This is given by the entry in the row titled </w:t>
      </w:r>
      <w:r w:rsidR="00F118B3">
        <w:t>“</w:t>
      </w:r>
      <w:r w:rsidR="003522BD">
        <w:t>AR1 rho</w:t>
      </w:r>
      <w:r w:rsidR="00F118B3">
        <w:t>”</w:t>
      </w:r>
      <w:r w:rsidR="003522BD">
        <w:t>.</w:t>
      </w:r>
      <w:r w:rsidR="00EA37AA">
        <w:t xml:space="preserve">  Due to</w:t>
      </w:r>
      <w:r w:rsidR="00AF431E">
        <w:t xml:space="preserve"> the</w:t>
      </w:r>
      <w:r w:rsidR="00EA37AA">
        <w:t xml:space="preserve"> structure of an AR(1) model, we can estimate the correlation between measurements taken further apart in time, as well.  For instance, the estimated correlation between measurements taken</w:t>
      </w:r>
      <w:r w:rsidR="00132ADB">
        <w:t xml:space="preserve"> on a subject</w:t>
      </w:r>
      <w:r w:rsidR="00EA37AA">
        <w:t xml:space="preserve"> at ages 8 and 12 is </w:t>
      </w:r>
      <w:r w:rsidR="00EA37AA" w:rsidRPr="0041222C">
        <w:rPr>
          <w:position w:val="-10"/>
        </w:rPr>
        <w:object w:dxaOrig="2140" w:dyaOrig="360">
          <v:shape id="_x0000_i1036" type="#_x0000_t75" style="width:107.15pt;height:18.4pt" o:ole="">
            <v:imagedata r:id="rId33" o:title=""/>
          </v:shape>
          <o:OLEObject Type="Embed" ProgID="Equation.DSMT4" ShapeID="_x0000_i1036" DrawAspect="Content" ObjectID="_1426151894" r:id="rId34"/>
        </w:object>
      </w:r>
      <w:r w:rsidR="001957F6">
        <w:t xml:space="preserve">, and for measurements taken at ages 8 and 14 is </w:t>
      </w:r>
      <w:r w:rsidR="001957F6" w:rsidRPr="0041222C">
        <w:rPr>
          <w:position w:val="-10"/>
        </w:rPr>
        <w:object w:dxaOrig="2120" w:dyaOrig="360">
          <v:shape id="_x0000_i1037" type="#_x0000_t75" style="width:106.35pt;height:18.4pt" o:ole="">
            <v:imagedata r:id="rId35" o:title=""/>
          </v:shape>
          <o:OLEObject Type="Embed" ProgID="Equation.DSMT4" ShapeID="_x0000_i1037" DrawAspect="Content" ObjectID="_1426151895" r:id="rId36"/>
        </w:object>
      </w:r>
      <w:r w:rsidR="00EA37AA">
        <w:t>.</w:t>
      </w:r>
      <w:r w:rsidRPr="00CA5FEE">
        <w:rPr>
          <w:rFonts w:eastAsia="Times New Roman"/>
          <w:bCs/>
          <w:lang w:eastAsia="en-US"/>
        </w:rPr>
        <w:t xml:space="preserve"> </w:t>
      </w:r>
    </w:p>
    <w:sectPr w:rsidR="00CA5FEE" w:rsidSect="00E65AD2">
      <w:footerReference w:type="default" r:id="rId37"/>
      <w:pgSz w:w="12240" w:h="15840"/>
      <w:pgMar w:top="1152" w:right="1728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23F" w:rsidRDefault="00AB123F">
      <w:r>
        <w:separator/>
      </w:r>
    </w:p>
  </w:endnote>
  <w:endnote w:type="continuationSeparator" w:id="0">
    <w:p w:rsidR="00AB123F" w:rsidRDefault="00AB1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23F" w:rsidRDefault="00AB123F" w:rsidP="003630F4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7DF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7DFD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23F" w:rsidRDefault="00AB123F">
      <w:r>
        <w:separator/>
      </w:r>
    </w:p>
  </w:footnote>
  <w:footnote w:type="continuationSeparator" w:id="0">
    <w:p w:rsidR="00AB123F" w:rsidRDefault="00AB12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1394"/>
    <w:rsid w:val="000037ED"/>
    <w:rsid w:val="00005387"/>
    <w:rsid w:val="00006217"/>
    <w:rsid w:val="0000784D"/>
    <w:rsid w:val="00065F30"/>
    <w:rsid w:val="000873C3"/>
    <w:rsid w:val="000A585D"/>
    <w:rsid w:val="000C0AFF"/>
    <w:rsid w:val="00132ADB"/>
    <w:rsid w:val="001336DB"/>
    <w:rsid w:val="001535E8"/>
    <w:rsid w:val="00166C75"/>
    <w:rsid w:val="0018093E"/>
    <w:rsid w:val="001957F6"/>
    <w:rsid w:val="001A2D02"/>
    <w:rsid w:val="001C7384"/>
    <w:rsid w:val="001D708F"/>
    <w:rsid w:val="001F3300"/>
    <w:rsid w:val="00223D21"/>
    <w:rsid w:val="00226D02"/>
    <w:rsid w:val="0025707C"/>
    <w:rsid w:val="00276185"/>
    <w:rsid w:val="00282EB7"/>
    <w:rsid w:val="002E727F"/>
    <w:rsid w:val="002F09A9"/>
    <w:rsid w:val="002F1F20"/>
    <w:rsid w:val="00343486"/>
    <w:rsid w:val="00351192"/>
    <w:rsid w:val="003522BD"/>
    <w:rsid w:val="00357E41"/>
    <w:rsid w:val="003630F4"/>
    <w:rsid w:val="00372AA3"/>
    <w:rsid w:val="00377FD7"/>
    <w:rsid w:val="00384031"/>
    <w:rsid w:val="003B283F"/>
    <w:rsid w:val="003B7851"/>
    <w:rsid w:val="003D1618"/>
    <w:rsid w:val="003F3611"/>
    <w:rsid w:val="004051B9"/>
    <w:rsid w:val="0040616F"/>
    <w:rsid w:val="0042306B"/>
    <w:rsid w:val="004327CA"/>
    <w:rsid w:val="00442F32"/>
    <w:rsid w:val="00454C68"/>
    <w:rsid w:val="00457F0F"/>
    <w:rsid w:val="00464746"/>
    <w:rsid w:val="00472241"/>
    <w:rsid w:val="004C1F86"/>
    <w:rsid w:val="004F60EA"/>
    <w:rsid w:val="0052580A"/>
    <w:rsid w:val="00527630"/>
    <w:rsid w:val="005561FD"/>
    <w:rsid w:val="00567E9B"/>
    <w:rsid w:val="00583AB2"/>
    <w:rsid w:val="005A09FD"/>
    <w:rsid w:val="005C1C0D"/>
    <w:rsid w:val="005C380B"/>
    <w:rsid w:val="005D577C"/>
    <w:rsid w:val="005D77BB"/>
    <w:rsid w:val="005E08E0"/>
    <w:rsid w:val="005E6A8E"/>
    <w:rsid w:val="00617574"/>
    <w:rsid w:val="00623CBE"/>
    <w:rsid w:val="006431B3"/>
    <w:rsid w:val="00651D9F"/>
    <w:rsid w:val="0065454F"/>
    <w:rsid w:val="00662DD2"/>
    <w:rsid w:val="00681326"/>
    <w:rsid w:val="00684C0B"/>
    <w:rsid w:val="006932B5"/>
    <w:rsid w:val="006A3866"/>
    <w:rsid w:val="006A4645"/>
    <w:rsid w:val="006E42B6"/>
    <w:rsid w:val="007124DF"/>
    <w:rsid w:val="00713CBE"/>
    <w:rsid w:val="007229D3"/>
    <w:rsid w:val="00727456"/>
    <w:rsid w:val="007503B7"/>
    <w:rsid w:val="00756D6C"/>
    <w:rsid w:val="007727BD"/>
    <w:rsid w:val="00785B8D"/>
    <w:rsid w:val="007B63EF"/>
    <w:rsid w:val="007C332E"/>
    <w:rsid w:val="007C7CA9"/>
    <w:rsid w:val="007D264E"/>
    <w:rsid w:val="007F080A"/>
    <w:rsid w:val="00803D57"/>
    <w:rsid w:val="008148AD"/>
    <w:rsid w:val="00841451"/>
    <w:rsid w:val="00876F16"/>
    <w:rsid w:val="00884137"/>
    <w:rsid w:val="00887DC5"/>
    <w:rsid w:val="0089014C"/>
    <w:rsid w:val="00895EED"/>
    <w:rsid w:val="008C3DDC"/>
    <w:rsid w:val="008C5484"/>
    <w:rsid w:val="008E374C"/>
    <w:rsid w:val="009070C6"/>
    <w:rsid w:val="009245EF"/>
    <w:rsid w:val="00933848"/>
    <w:rsid w:val="00950E8B"/>
    <w:rsid w:val="00954CD8"/>
    <w:rsid w:val="00986DBD"/>
    <w:rsid w:val="009975AE"/>
    <w:rsid w:val="00997DAA"/>
    <w:rsid w:val="009B774D"/>
    <w:rsid w:val="009C0F28"/>
    <w:rsid w:val="009E359F"/>
    <w:rsid w:val="00A051D7"/>
    <w:rsid w:val="00A21103"/>
    <w:rsid w:val="00A236B5"/>
    <w:rsid w:val="00A35980"/>
    <w:rsid w:val="00A5337A"/>
    <w:rsid w:val="00A643AC"/>
    <w:rsid w:val="00AA37C9"/>
    <w:rsid w:val="00AA7494"/>
    <w:rsid w:val="00AB123F"/>
    <w:rsid w:val="00AB4C32"/>
    <w:rsid w:val="00AC7CF1"/>
    <w:rsid w:val="00AE6CD2"/>
    <w:rsid w:val="00AF431E"/>
    <w:rsid w:val="00AF4D99"/>
    <w:rsid w:val="00B13960"/>
    <w:rsid w:val="00B36250"/>
    <w:rsid w:val="00B50696"/>
    <w:rsid w:val="00B552B8"/>
    <w:rsid w:val="00B6793D"/>
    <w:rsid w:val="00B71653"/>
    <w:rsid w:val="00B9588A"/>
    <w:rsid w:val="00BA55E6"/>
    <w:rsid w:val="00BA7C47"/>
    <w:rsid w:val="00BB6FCB"/>
    <w:rsid w:val="00BD42D7"/>
    <w:rsid w:val="00BF049A"/>
    <w:rsid w:val="00C04139"/>
    <w:rsid w:val="00C23F01"/>
    <w:rsid w:val="00C27708"/>
    <w:rsid w:val="00C33807"/>
    <w:rsid w:val="00C44C76"/>
    <w:rsid w:val="00C47DFD"/>
    <w:rsid w:val="00C71394"/>
    <w:rsid w:val="00C7181B"/>
    <w:rsid w:val="00C82175"/>
    <w:rsid w:val="00CA00F9"/>
    <w:rsid w:val="00CA5C2F"/>
    <w:rsid w:val="00CA5FEE"/>
    <w:rsid w:val="00CC0C29"/>
    <w:rsid w:val="00CE12A4"/>
    <w:rsid w:val="00D0574B"/>
    <w:rsid w:val="00D227C8"/>
    <w:rsid w:val="00D256D3"/>
    <w:rsid w:val="00D53747"/>
    <w:rsid w:val="00D978F1"/>
    <w:rsid w:val="00DB0F40"/>
    <w:rsid w:val="00DB3ED8"/>
    <w:rsid w:val="00DB5BA7"/>
    <w:rsid w:val="00DC793E"/>
    <w:rsid w:val="00DD03E9"/>
    <w:rsid w:val="00DE5A4B"/>
    <w:rsid w:val="00E0113D"/>
    <w:rsid w:val="00E11621"/>
    <w:rsid w:val="00E155C5"/>
    <w:rsid w:val="00E2059A"/>
    <w:rsid w:val="00E23948"/>
    <w:rsid w:val="00E30C90"/>
    <w:rsid w:val="00E331C6"/>
    <w:rsid w:val="00E46DE9"/>
    <w:rsid w:val="00E55DD5"/>
    <w:rsid w:val="00E65AD2"/>
    <w:rsid w:val="00EA3690"/>
    <w:rsid w:val="00EA37AA"/>
    <w:rsid w:val="00EC37C2"/>
    <w:rsid w:val="00EF134B"/>
    <w:rsid w:val="00EF5E61"/>
    <w:rsid w:val="00F118B3"/>
    <w:rsid w:val="00F22DA3"/>
    <w:rsid w:val="00F42A68"/>
    <w:rsid w:val="00F470D4"/>
    <w:rsid w:val="00FA6A91"/>
    <w:rsid w:val="00FC7EF9"/>
    <w:rsid w:val="00FE67B8"/>
    <w:rsid w:val="00FE690D"/>
    <w:rsid w:val="00FF171A"/>
    <w:rsid w:val="00FF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630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30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3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5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9.bin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33" Type="http://schemas.openxmlformats.org/officeDocument/2006/relationships/image" Target="media/image20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7.wmf"/><Relationship Id="rId36" Type="http://schemas.openxmlformats.org/officeDocument/2006/relationships/oleObject" Target="embeddings/oleObject10.bin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image" Target="media/image19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734</Words>
  <Characters>4186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tclough</dc:creator>
  <cp:keywords/>
  <dc:description/>
  <cp:lastModifiedBy>vhasfcdurazt</cp:lastModifiedBy>
  <cp:revision>2</cp:revision>
  <cp:lastPrinted>2007-04-22T23:58:00Z</cp:lastPrinted>
  <dcterms:created xsi:type="dcterms:W3CDTF">2013-03-30T19:31:00Z</dcterms:created>
  <dcterms:modified xsi:type="dcterms:W3CDTF">2013-03-30T19:31:00Z</dcterms:modified>
</cp:coreProperties>
</file>