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ED3" w:rsidRPr="00B33ED3" w:rsidRDefault="00B33ED3" w:rsidP="00B33ED3">
      <w:pPr>
        <w:spacing w:after="0" w:line="240" w:lineRule="auto"/>
        <w:ind w:left="720" w:right="5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33ED3">
        <w:rPr>
          <w:rFonts w:ascii="Times New Roman" w:eastAsia="Times New Roman" w:hAnsi="Times New Roman" w:cs="Times New Roman"/>
          <w:b/>
          <w:bCs/>
          <w:color w:val="336699"/>
          <w:sz w:val="20"/>
          <w:szCs w:val="20"/>
        </w:rPr>
        <w:t xml:space="preserve">Score Conversion Tables for Commonly Used Tests  </w:t>
      </w:r>
    </w:p>
    <w:p w:rsidR="00B33ED3" w:rsidRPr="00B33ED3" w:rsidRDefault="00B33ED3" w:rsidP="00B33ED3">
      <w:pPr>
        <w:spacing w:after="0" w:line="240" w:lineRule="auto"/>
        <w:ind w:left="720" w:right="54"/>
        <w:rPr>
          <w:rFonts w:ascii="Times New Roman" w:eastAsia="Times New Roman" w:hAnsi="Times New Roman" w:cs="Times New Roman"/>
          <w:sz w:val="20"/>
          <w:szCs w:val="20"/>
        </w:rPr>
      </w:pPr>
      <w:r w:rsidRPr="00B33ED3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B33ED3" w:rsidRPr="00B33ED3" w:rsidRDefault="00B33ED3" w:rsidP="00B33ED3">
      <w:pPr>
        <w:spacing w:after="0" w:line="240" w:lineRule="auto"/>
        <w:ind w:left="720" w:right="5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33ED3">
        <w:rPr>
          <w:rFonts w:ascii="Times New Roman" w:eastAsia="Times New Roman" w:hAnsi="Times New Roman" w:cs="Times New Roman"/>
          <w:b/>
          <w:bCs/>
          <w:sz w:val="20"/>
          <w:szCs w:val="20"/>
        </w:rPr>
        <w:t>All Wechsler Scales, all Woodcock tests</w:t>
      </w:r>
      <w:proofErr w:type="gramStart"/>
      <w:r w:rsidRPr="00B33ED3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B33ED3"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  <w:t>1</w:t>
      </w:r>
      <w:proofErr w:type="gramEnd"/>
      <w:r w:rsidRPr="00B33ED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all Kaufman Tests, Most Tests Published by American Guidance Service, Pro-Ed,</w:t>
      </w:r>
      <w:r w:rsidRPr="00B33ED3"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  <w:t>2</w:t>
      </w:r>
      <w:r w:rsidRPr="00B33ED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Riverside, the Psychological Corporation, and Many Others</w:t>
      </w:r>
    </w:p>
    <w:p w:rsidR="00B33ED3" w:rsidRPr="00B33ED3" w:rsidRDefault="00B33ED3" w:rsidP="00B33E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33ED3">
        <w:rPr>
          <w:rFonts w:ascii="Times New Roman" w:eastAsia="Times New Roman" w:hAnsi="Times New Roman" w:cs="Times New Roman"/>
          <w:sz w:val="20"/>
          <w:szCs w:val="20"/>
        </w:rPr>
        <w:t xml:space="preserve">Z-scores (z), Percentile Ranks (PR), Standard Scores (SS) (Mean = 100, </w:t>
      </w:r>
      <w:proofErr w:type="spellStart"/>
      <w:r w:rsidRPr="00B33ED3">
        <w:rPr>
          <w:rFonts w:ascii="Times New Roman" w:eastAsia="Times New Roman" w:hAnsi="Times New Roman" w:cs="Times New Roman"/>
          <w:sz w:val="20"/>
          <w:szCs w:val="20"/>
        </w:rPr>
        <w:t>s.d</w:t>
      </w:r>
      <w:proofErr w:type="spellEnd"/>
      <w:r w:rsidRPr="00B33ED3">
        <w:rPr>
          <w:rFonts w:ascii="Times New Roman" w:eastAsia="Times New Roman" w:hAnsi="Times New Roman" w:cs="Times New Roman"/>
          <w:sz w:val="20"/>
          <w:szCs w:val="20"/>
        </w:rPr>
        <w:t>. = 15),</w:t>
      </w:r>
      <w:proofErr w:type="gramStart"/>
      <w:r w:rsidRPr="00B33ED3">
        <w:rPr>
          <w:rFonts w:ascii="Times New Roman" w:eastAsia="Times New Roman" w:hAnsi="Times New Roman" w:cs="Times New Roman"/>
          <w:sz w:val="20"/>
          <w:szCs w:val="20"/>
        </w:rPr>
        <w:t>  Scaled</w:t>
      </w:r>
      <w:proofErr w:type="gramEnd"/>
      <w:r w:rsidRPr="00B33ED3">
        <w:rPr>
          <w:rFonts w:ascii="Times New Roman" w:eastAsia="Times New Roman" w:hAnsi="Times New Roman" w:cs="Times New Roman"/>
          <w:sz w:val="20"/>
          <w:szCs w:val="20"/>
        </w:rPr>
        <w:t xml:space="preserve"> Scores (</w:t>
      </w:r>
      <w:proofErr w:type="spellStart"/>
      <w:r w:rsidRPr="00B33ED3">
        <w:rPr>
          <w:rFonts w:ascii="Times New Roman" w:eastAsia="Times New Roman" w:hAnsi="Times New Roman" w:cs="Times New Roman"/>
          <w:sz w:val="20"/>
          <w:szCs w:val="20"/>
        </w:rPr>
        <w:t>ss</w:t>
      </w:r>
      <w:proofErr w:type="spellEnd"/>
      <w:r w:rsidRPr="00B33ED3">
        <w:rPr>
          <w:rFonts w:ascii="Times New Roman" w:eastAsia="Times New Roman" w:hAnsi="Times New Roman" w:cs="Times New Roman"/>
          <w:sz w:val="20"/>
          <w:szCs w:val="20"/>
        </w:rPr>
        <w:t xml:space="preserve">) (Mean = 10, </w:t>
      </w:r>
      <w:proofErr w:type="spellStart"/>
      <w:r w:rsidRPr="00B33ED3">
        <w:rPr>
          <w:rFonts w:ascii="Times New Roman" w:eastAsia="Times New Roman" w:hAnsi="Times New Roman" w:cs="Times New Roman"/>
          <w:sz w:val="20"/>
          <w:szCs w:val="20"/>
        </w:rPr>
        <w:t>s.d</w:t>
      </w:r>
      <w:proofErr w:type="spellEnd"/>
      <w:r w:rsidRPr="00B33ED3">
        <w:rPr>
          <w:rFonts w:ascii="Times New Roman" w:eastAsia="Times New Roman" w:hAnsi="Times New Roman" w:cs="Times New Roman"/>
          <w:sz w:val="20"/>
          <w:szCs w:val="20"/>
        </w:rPr>
        <w:t xml:space="preserve">. = 3), and </w:t>
      </w:r>
      <w:proofErr w:type="spellStart"/>
      <w:r w:rsidRPr="00B33ED3">
        <w:rPr>
          <w:rFonts w:ascii="Times New Roman" w:eastAsia="Times New Roman" w:hAnsi="Times New Roman" w:cs="Times New Roman"/>
          <w:sz w:val="20"/>
          <w:szCs w:val="20"/>
        </w:rPr>
        <w:t>Stanines</w:t>
      </w:r>
      <w:proofErr w:type="spellEnd"/>
      <w:r w:rsidRPr="00B33ED3">
        <w:rPr>
          <w:rFonts w:ascii="Times New Roman" w:eastAsia="Times New Roman" w:hAnsi="Times New Roman" w:cs="Times New Roman"/>
          <w:sz w:val="20"/>
          <w:szCs w:val="20"/>
        </w:rPr>
        <w:t xml:space="preserve"> (9)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64"/>
        <w:gridCol w:w="696"/>
        <w:gridCol w:w="696"/>
        <w:gridCol w:w="576"/>
        <w:gridCol w:w="432"/>
        <w:gridCol w:w="316"/>
        <w:gridCol w:w="288"/>
        <w:gridCol w:w="691"/>
        <w:gridCol w:w="691"/>
        <w:gridCol w:w="576"/>
        <w:gridCol w:w="432"/>
        <w:gridCol w:w="316"/>
        <w:gridCol w:w="288"/>
        <w:gridCol w:w="691"/>
        <w:gridCol w:w="691"/>
        <w:gridCol w:w="576"/>
        <w:gridCol w:w="432"/>
        <w:gridCol w:w="316"/>
      </w:tblGrid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  <w:proofErr w:type="spellEnd"/>
          </w:p>
        </w:tc>
        <w:tc>
          <w:tcPr>
            <w:tcW w:w="288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69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  <w:proofErr w:type="spellEnd"/>
          </w:p>
        </w:tc>
        <w:tc>
          <w:tcPr>
            <w:tcW w:w="288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69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  <w:proofErr w:type="spellEnd"/>
          </w:p>
        </w:tc>
        <w:tc>
          <w:tcPr>
            <w:tcW w:w="288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B33ED3" w:rsidRPr="00B33ED3" w:rsidTr="00B33ED3">
        <w:trPr>
          <w:trHeight w:val="80"/>
        </w:trPr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+4.00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+1.33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-1.40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+3.93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+1.27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-1.47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+3.87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+1.20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-1.53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+3.80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+1.13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-1.60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+3.73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+1.07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-1.67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+3.67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+1.00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-1.73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+3.60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+0.93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-1.80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+3.53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+0.87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-1.87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+3.47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+0.80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-1.93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+3.40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+0.73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-2.00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+3.33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+0.67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-2.07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+3.27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+0.60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-2.13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+3.20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+0.53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-2.20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+3.13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+0.47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-2.27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+3.07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+0.40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-2.33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+3.00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+0.33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-2.40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+2.93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99.8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+0.27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-2.47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+2.87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99.8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+0.20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-2.53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+2.80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99.7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+0.13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-2.60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+2.73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99.7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+0.07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-2.67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+2.67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99.6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-2.73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+2.60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99.5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-0.07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-2.80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+2.53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-0.13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-2.87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+2.47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-0.20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-2.93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+2.40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-0.27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-3.00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+2.33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-0.33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-3.07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+2.27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-0.40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-3.13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+2.20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-0.47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-3.20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+2.13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-0.53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-3.27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+2.07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-0.60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-3.33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+2.00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-0.67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-3.40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+1.93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-0.73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-3.47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+1.87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-0.80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-3.53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+1.80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-0.87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3.60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+1.73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-0.93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-3.67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+1.67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-1.00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-3.73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+1.60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-1.07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-3.80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+1.53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-1.13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-3.87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+1.47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-1.20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-3.93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+1.40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-1.27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-4.00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-1.33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B33ED3" w:rsidRPr="00B33ED3" w:rsidRDefault="00B33ED3" w:rsidP="00B33ED3">
      <w:pPr>
        <w:spacing w:before="100" w:beforeAutospacing="1" w:after="100" w:afterAutospacing="1" w:line="240" w:lineRule="auto"/>
        <w:ind w:right="-576"/>
        <w:rPr>
          <w:rFonts w:ascii="Times New Roman" w:eastAsia="Times New Roman" w:hAnsi="Times New Roman" w:cs="Times New Roman"/>
          <w:sz w:val="20"/>
          <w:szCs w:val="20"/>
        </w:rPr>
      </w:pPr>
      <w:r w:rsidRPr="00B33ED3">
        <w:rPr>
          <w:rFonts w:ascii="Times New Roman" w:eastAsia="Times New Roman" w:hAnsi="Times New Roman" w:cs="Times New Roman"/>
          <w:sz w:val="20"/>
          <w:szCs w:val="20"/>
        </w:rPr>
        <w:t>                1.  Tests of which Dr. Woodcock is author or co-author separately compute Standard Scores and Percentile Ranks, so these will not be the precise relationships between Standard Scores and Percentile Ranks.</w:t>
      </w:r>
    </w:p>
    <w:p w:rsidR="00B33ED3" w:rsidRPr="00B33ED3" w:rsidRDefault="00B33ED3" w:rsidP="00B33ED3">
      <w:pPr>
        <w:spacing w:before="100" w:beforeAutospacing="1" w:after="100" w:afterAutospacing="1" w:line="240" w:lineRule="auto"/>
        <w:ind w:right="-576"/>
        <w:rPr>
          <w:rFonts w:ascii="Times New Roman" w:eastAsia="Times New Roman" w:hAnsi="Times New Roman" w:cs="Times New Roman"/>
          <w:sz w:val="20"/>
          <w:szCs w:val="20"/>
        </w:rPr>
      </w:pPr>
      <w:r w:rsidRPr="00B33ED3">
        <w:rPr>
          <w:rFonts w:ascii="Times New Roman" w:eastAsia="Times New Roman" w:hAnsi="Times New Roman" w:cs="Times New Roman"/>
          <w:sz w:val="20"/>
          <w:szCs w:val="20"/>
        </w:rPr>
        <w:t>                2.  Tests published by Pro-Ed call these Standard Scores “quotients,” and these Scaled Scores “Standard Scores”</w:t>
      </w:r>
      <w:proofErr w:type="gramStart"/>
      <w:r w:rsidRPr="00B33ED3">
        <w:rPr>
          <w:rFonts w:ascii="Times New Roman" w:eastAsia="Times New Roman" w:hAnsi="Times New Roman" w:cs="Times New Roman"/>
          <w:sz w:val="20"/>
          <w:szCs w:val="20"/>
        </w:rPr>
        <w:t>  (</w:t>
      </w:r>
      <w:proofErr w:type="gramEnd"/>
      <w:r w:rsidRPr="00B33ED3">
        <w:rPr>
          <w:rFonts w:ascii="Times New Roman" w:eastAsia="Times New Roman" w:hAnsi="Times New Roman" w:cs="Times New Roman"/>
          <w:sz w:val="20"/>
          <w:szCs w:val="20"/>
        </w:rPr>
        <w:t>which they are, although that is not the common usage).</w:t>
      </w:r>
    </w:p>
    <w:p w:rsidR="00B33ED3" w:rsidRPr="00B33ED3" w:rsidRDefault="00B33ED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33ED3"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:rsidR="00B33ED3" w:rsidRPr="00B33ED3" w:rsidRDefault="00B33ED3" w:rsidP="00B33ED3">
      <w:pPr>
        <w:spacing w:after="0" w:line="240" w:lineRule="auto"/>
        <w:ind w:left="720" w:right="5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33ED3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Differential Ability Scales and Other Tests Using T scores</w:t>
      </w:r>
      <w:r w:rsidRPr="00B33ED3"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  <w:t>1</w:t>
      </w:r>
    </w:p>
    <w:p w:rsidR="00B33ED3" w:rsidRPr="00B33ED3" w:rsidRDefault="00B33ED3" w:rsidP="00B33ED3">
      <w:pPr>
        <w:spacing w:before="100" w:beforeAutospacing="1" w:after="100" w:afterAutospacing="1" w:line="240" w:lineRule="auto"/>
        <w:ind w:right="-57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33ED3">
        <w:rPr>
          <w:rFonts w:ascii="Times New Roman" w:eastAsia="Times New Roman" w:hAnsi="Times New Roman" w:cs="Times New Roman"/>
          <w:sz w:val="20"/>
          <w:szCs w:val="20"/>
        </w:rPr>
        <w:t xml:space="preserve"> Z-scores (z), Percentile Ranks (PR), Standard Scores (General Conceptual Ability -- GCA) (mean = 100, </w:t>
      </w:r>
      <w:proofErr w:type="spellStart"/>
      <w:r w:rsidRPr="00B33ED3">
        <w:rPr>
          <w:rFonts w:ascii="Times New Roman" w:eastAsia="Times New Roman" w:hAnsi="Times New Roman" w:cs="Times New Roman"/>
          <w:sz w:val="20"/>
          <w:szCs w:val="20"/>
        </w:rPr>
        <w:t>s.d</w:t>
      </w:r>
      <w:proofErr w:type="spellEnd"/>
      <w:r w:rsidRPr="00B33ED3">
        <w:rPr>
          <w:rFonts w:ascii="Times New Roman" w:eastAsia="Times New Roman" w:hAnsi="Times New Roman" w:cs="Times New Roman"/>
          <w:sz w:val="20"/>
          <w:szCs w:val="20"/>
        </w:rPr>
        <w:t xml:space="preserve">. = 15), T Scores (T) (mean = 50, </w:t>
      </w:r>
      <w:proofErr w:type="spellStart"/>
      <w:r w:rsidRPr="00B33ED3">
        <w:rPr>
          <w:rFonts w:ascii="Times New Roman" w:eastAsia="Times New Roman" w:hAnsi="Times New Roman" w:cs="Times New Roman"/>
          <w:sz w:val="20"/>
          <w:szCs w:val="20"/>
        </w:rPr>
        <w:t>s.d</w:t>
      </w:r>
      <w:proofErr w:type="spellEnd"/>
      <w:r w:rsidRPr="00B33ED3">
        <w:rPr>
          <w:rFonts w:ascii="Times New Roman" w:eastAsia="Times New Roman" w:hAnsi="Times New Roman" w:cs="Times New Roman"/>
          <w:sz w:val="20"/>
          <w:szCs w:val="20"/>
        </w:rPr>
        <w:t xml:space="preserve">. = 10), and </w:t>
      </w:r>
      <w:proofErr w:type="spellStart"/>
      <w:r w:rsidRPr="00B33ED3">
        <w:rPr>
          <w:rFonts w:ascii="Times New Roman" w:eastAsia="Times New Roman" w:hAnsi="Times New Roman" w:cs="Times New Roman"/>
          <w:sz w:val="20"/>
          <w:szCs w:val="20"/>
        </w:rPr>
        <w:t>Stanines</w:t>
      </w:r>
      <w:proofErr w:type="spellEnd"/>
      <w:r w:rsidRPr="00B33ED3">
        <w:rPr>
          <w:rFonts w:ascii="Times New Roman" w:eastAsia="Times New Roman" w:hAnsi="Times New Roman" w:cs="Times New Roman"/>
          <w:sz w:val="20"/>
          <w:szCs w:val="20"/>
        </w:rPr>
        <w:t xml:space="preserve"> (9)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64"/>
        <w:gridCol w:w="696"/>
        <w:gridCol w:w="696"/>
        <w:gridCol w:w="576"/>
        <w:gridCol w:w="432"/>
        <w:gridCol w:w="288"/>
        <w:gridCol w:w="288"/>
        <w:gridCol w:w="691"/>
        <w:gridCol w:w="691"/>
        <w:gridCol w:w="576"/>
        <w:gridCol w:w="432"/>
        <w:gridCol w:w="288"/>
        <w:gridCol w:w="288"/>
        <w:gridCol w:w="691"/>
        <w:gridCol w:w="691"/>
        <w:gridCol w:w="576"/>
        <w:gridCol w:w="432"/>
        <w:gridCol w:w="288"/>
      </w:tblGrid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GCA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88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69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GCA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88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69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GCA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B33ED3" w:rsidRPr="00B33ED3" w:rsidTr="00B33ED3">
        <w:trPr>
          <w:trHeight w:val="80"/>
        </w:trPr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+4.00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+1.33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-1.40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+3.93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+1.27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-1.47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+3.87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+1.20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-1.53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+3.80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+1.13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-1.60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+3.73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+1.07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-1.67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+3.67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+1.00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-1.73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+3.60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+0.93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-1.80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+3.53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+0.87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-1.87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+3.47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+0.80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-1.93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+3.40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+0.73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-2.00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+3.33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+0.67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-2.07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+3.27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+0.60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-2.13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+3.20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+0.53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-2.20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+3.13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+0.47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-2.27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+3.07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+0.40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-2.33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+3.00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+0.33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-2.40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+2.93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99.8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+0.27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-2.47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+2.87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99.8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+0.20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-2.53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+2.80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99.7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+0.13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-2.60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+2.73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99.7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+0.07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-2.67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+2.67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99.6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-2.73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+2.60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99.5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-0.07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-2.80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+2.53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-0.13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-2.87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+2.47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-0.20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-2.93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+2.40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-0.27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-3.00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+2.33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-0.33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-3.07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+2.27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-0.40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-3.13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+2.20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-0.47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-3.20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+2.13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-0.53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-3.27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+2.07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-0.60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-3.33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+2.00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-0.67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-3.40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+1.93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-0.73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-3.47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+1.87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-0.80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-3.53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+1.80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-0.87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3.60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+1.73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-0.93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-3.67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+1.67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-1.00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-3.73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+1.60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-1.07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-3.80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+1.53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-1.13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-3.87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+1.47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-1.20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-3.93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+1.40</w:t>
            </w:r>
          </w:p>
        </w:tc>
        <w:tc>
          <w:tcPr>
            <w:tcW w:w="69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-1.27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-4.00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-1.33</w:t>
            </w:r>
          </w:p>
        </w:tc>
        <w:tc>
          <w:tcPr>
            <w:tcW w:w="691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576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432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shd w:val="clear" w:color="auto" w:fill="CCCCCC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B33ED3" w:rsidRPr="00B33ED3" w:rsidRDefault="00B33ED3" w:rsidP="00B33ED3">
      <w:pPr>
        <w:spacing w:before="100" w:beforeAutospacing="1" w:after="100" w:afterAutospacing="1" w:line="240" w:lineRule="auto"/>
        <w:ind w:right="-576"/>
        <w:rPr>
          <w:rFonts w:ascii="Times New Roman" w:eastAsia="Times New Roman" w:hAnsi="Times New Roman" w:cs="Times New Roman"/>
          <w:sz w:val="20"/>
          <w:szCs w:val="20"/>
        </w:rPr>
      </w:pPr>
      <w:r w:rsidRPr="00B33ED3">
        <w:rPr>
          <w:rFonts w:ascii="Times New Roman" w:eastAsia="Times New Roman" w:hAnsi="Times New Roman" w:cs="Times New Roman"/>
          <w:sz w:val="20"/>
          <w:szCs w:val="20"/>
        </w:rPr>
        <w:t>1.  Odd-numbered T scores fall between Standard Scores.  For instance, a T score of 49 is equivalent to a z-score of   -0.10, and a standard score of 98.5</w:t>
      </w:r>
    </w:p>
    <w:p w:rsidR="00B33ED3" w:rsidRPr="00B33ED3" w:rsidRDefault="00B33ED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33ED3"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:rsidR="00B33ED3" w:rsidRPr="00B33ED3" w:rsidRDefault="00B33ED3" w:rsidP="00B33ED3">
      <w:pPr>
        <w:spacing w:before="100" w:beforeAutospacing="1" w:after="100" w:afterAutospacing="1" w:line="240" w:lineRule="auto"/>
        <w:ind w:right="-576"/>
        <w:rPr>
          <w:rFonts w:ascii="Times New Roman" w:eastAsia="Times New Roman" w:hAnsi="Times New Roman" w:cs="Times New Roman"/>
          <w:sz w:val="20"/>
          <w:szCs w:val="20"/>
        </w:rPr>
      </w:pPr>
      <w:r w:rsidRPr="00B33ED3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Stanford-</w:t>
      </w:r>
      <w:proofErr w:type="spellStart"/>
      <w:r w:rsidRPr="00B33ED3">
        <w:rPr>
          <w:rFonts w:ascii="Times New Roman" w:eastAsia="Times New Roman" w:hAnsi="Times New Roman" w:cs="Times New Roman"/>
          <w:b/>
          <w:bCs/>
          <w:sz w:val="20"/>
          <w:szCs w:val="20"/>
        </w:rPr>
        <w:t>Binet</w:t>
      </w:r>
      <w:proofErr w:type="spellEnd"/>
      <w:r w:rsidRPr="00B33ED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Intelligence Scale, 4</w:t>
      </w:r>
      <w:r w:rsidRPr="00B33ED3"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Pr="00B33ED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ed. and Other Tests Using Standard Scores with a Mean of 100 and SD 16 </w:t>
      </w:r>
    </w:p>
    <w:p w:rsidR="00B33ED3" w:rsidRPr="00B33ED3" w:rsidRDefault="00B33ED3" w:rsidP="00B33ED3">
      <w:pPr>
        <w:spacing w:before="100" w:beforeAutospacing="1" w:after="100" w:afterAutospacing="1" w:line="240" w:lineRule="auto"/>
        <w:ind w:right="-57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33ED3">
        <w:rPr>
          <w:rFonts w:ascii="Times New Roman" w:eastAsia="Times New Roman" w:hAnsi="Times New Roman" w:cs="Times New Roman"/>
          <w:sz w:val="20"/>
          <w:szCs w:val="20"/>
        </w:rPr>
        <w:t>Z-scores (z), Percentile Ranks (PR), Composite and Area Standard Scores (</w:t>
      </w:r>
      <w:proofErr w:type="gramStart"/>
      <w:r w:rsidRPr="00B33ED3">
        <w:rPr>
          <w:rFonts w:ascii="Times New Roman" w:eastAsia="Times New Roman" w:hAnsi="Times New Roman" w:cs="Times New Roman"/>
          <w:sz w:val="20"/>
          <w:szCs w:val="20"/>
        </w:rPr>
        <w:t>SAS</w:t>
      </w:r>
      <w:bookmarkStart w:id="0" w:name="_ftnref1"/>
      <w:proofErr w:type="gramEnd"/>
      <w:r w:rsidRPr="00B33ED3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33ED3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"http://alpha.fdu.edu/psychology/score_conversion_tables.htm" \l "_ftn1" \o "" </w:instrText>
      </w:r>
      <w:r w:rsidRPr="00B33ED3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33ED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</w:rPr>
        <w:t>[1]</w:t>
      </w:r>
      <w:r w:rsidRPr="00B33ED3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bookmarkEnd w:id="0"/>
      <w:r w:rsidRPr="00B33ED3">
        <w:rPr>
          <w:rFonts w:ascii="Times New Roman" w:eastAsia="Times New Roman" w:hAnsi="Times New Roman" w:cs="Times New Roman"/>
          <w:sz w:val="20"/>
          <w:szCs w:val="20"/>
        </w:rPr>
        <w:t xml:space="preserve">) (Mean = 100 </w:t>
      </w:r>
      <w:proofErr w:type="spellStart"/>
      <w:r w:rsidRPr="00B33ED3">
        <w:rPr>
          <w:rFonts w:ascii="Times New Roman" w:eastAsia="Times New Roman" w:hAnsi="Times New Roman" w:cs="Times New Roman"/>
          <w:sz w:val="20"/>
          <w:szCs w:val="20"/>
        </w:rPr>
        <w:t>s.d</w:t>
      </w:r>
      <w:proofErr w:type="spellEnd"/>
      <w:r w:rsidRPr="00B33ED3">
        <w:rPr>
          <w:rFonts w:ascii="Times New Roman" w:eastAsia="Times New Roman" w:hAnsi="Times New Roman" w:cs="Times New Roman"/>
          <w:sz w:val="20"/>
          <w:szCs w:val="20"/>
        </w:rPr>
        <w:t>. = 16), Subtest Standard Scores (</w:t>
      </w:r>
      <w:proofErr w:type="spellStart"/>
      <w:r w:rsidRPr="00B33ED3">
        <w:rPr>
          <w:rFonts w:ascii="Times New Roman" w:eastAsia="Times New Roman" w:hAnsi="Times New Roman" w:cs="Times New Roman"/>
          <w:sz w:val="20"/>
          <w:szCs w:val="20"/>
        </w:rPr>
        <w:t>sas</w:t>
      </w:r>
      <w:proofErr w:type="spellEnd"/>
      <w:r w:rsidRPr="00B33ED3">
        <w:rPr>
          <w:rFonts w:ascii="Times New Roman" w:eastAsia="Times New Roman" w:hAnsi="Times New Roman" w:cs="Times New Roman"/>
          <w:sz w:val="20"/>
          <w:szCs w:val="20"/>
        </w:rPr>
        <w:t xml:space="preserve">) (Mean = 50, </w:t>
      </w:r>
      <w:proofErr w:type="spellStart"/>
      <w:r w:rsidRPr="00B33ED3">
        <w:rPr>
          <w:rFonts w:ascii="Times New Roman" w:eastAsia="Times New Roman" w:hAnsi="Times New Roman" w:cs="Times New Roman"/>
          <w:sz w:val="20"/>
          <w:szCs w:val="20"/>
        </w:rPr>
        <w:t>s.d</w:t>
      </w:r>
      <w:proofErr w:type="spellEnd"/>
      <w:r w:rsidRPr="00B33ED3">
        <w:rPr>
          <w:rFonts w:ascii="Times New Roman" w:eastAsia="Times New Roman" w:hAnsi="Times New Roman" w:cs="Times New Roman"/>
          <w:sz w:val="20"/>
          <w:szCs w:val="20"/>
        </w:rPr>
        <w:t xml:space="preserve">. = 8), and </w:t>
      </w:r>
      <w:proofErr w:type="spellStart"/>
      <w:r w:rsidRPr="00B33ED3">
        <w:rPr>
          <w:rFonts w:ascii="Times New Roman" w:eastAsia="Times New Roman" w:hAnsi="Times New Roman" w:cs="Times New Roman"/>
          <w:sz w:val="20"/>
          <w:szCs w:val="20"/>
        </w:rPr>
        <w:t>Stanines</w:t>
      </w:r>
      <w:proofErr w:type="spellEnd"/>
      <w:r w:rsidRPr="00B33ED3">
        <w:rPr>
          <w:rFonts w:ascii="Times New Roman" w:eastAsia="Times New Roman" w:hAnsi="Times New Roman" w:cs="Times New Roman"/>
          <w:sz w:val="20"/>
          <w:szCs w:val="20"/>
        </w:rPr>
        <w:t xml:space="preserve"> (9)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64"/>
        <w:gridCol w:w="648"/>
        <w:gridCol w:w="744"/>
        <w:gridCol w:w="576"/>
        <w:gridCol w:w="432"/>
        <w:gridCol w:w="288"/>
        <w:gridCol w:w="288"/>
        <w:gridCol w:w="691"/>
        <w:gridCol w:w="691"/>
        <w:gridCol w:w="576"/>
        <w:gridCol w:w="432"/>
        <w:gridCol w:w="288"/>
        <w:gridCol w:w="288"/>
        <w:gridCol w:w="691"/>
        <w:gridCol w:w="691"/>
        <w:gridCol w:w="576"/>
        <w:gridCol w:w="432"/>
        <w:gridCol w:w="288"/>
      </w:tblGrid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744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SAS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sas</w:t>
            </w:r>
            <w:proofErr w:type="spellEnd"/>
          </w:p>
        </w:tc>
        <w:tc>
          <w:tcPr>
            <w:tcW w:w="288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69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SAS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sas</w:t>
            </w:r>
            <w:proofErr w:type="spellEnd"/>
          </w:p>
        </w:tc>
        <w:tc>
          <w:tcPr>
            <w:tcW w:w="288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69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SAS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sas</w:t>
            </w:r>
            <w:proofErr w:type="spellEnd"/>
          </w:p>
        </w:tc>
        <w:tc>
          <w:tcPr>
            <w:tcW w:w="288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B33ED3" w:rsidRPr="00B33ED3" w:rsidTr="00B33ED3">
        <w:trPr>
          <w:trHeight w:val="110"/>
        </w:trPr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11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+4.00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+1.31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-1.38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+3.94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+1.25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-1.44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+3.88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+1.19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-1.50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+3.81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+1.13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-1.56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+3.75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+1.06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-1.63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+3.69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+1.00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-1.69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+3.63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+0.94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-1.75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+3.56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+0.88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-1.81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+3.50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+0.81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-1.88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+3.44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+0.75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-1.94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+3.38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+0.69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-2.00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+3.31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+0.63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-2.06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+3.25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+0.56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-2.13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+3.19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+0.50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-2.19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+3.13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+0.44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-2.25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+3.06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+0.38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-2.31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+3.00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+0.31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-2.38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+2.94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99.8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+0.25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-2.44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+2.88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99.8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+0.19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-2.50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+2.81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99.8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+0.13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-2.53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+2.75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99.7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+0.06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-2.63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+2.69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99.6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-2.69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+2.63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99.6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-2.75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+2.56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-0.13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-2.81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+2.50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-0.19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-2.88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+2.44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-0.25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-2.94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+2.38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-0.31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-3.00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+2.31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-0.38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-3.06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+2.25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-0.44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-3.13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+2.19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-0.50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-3.19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+2.13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-0.56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-3.25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+2.06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-0.63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-3.31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+2.00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-0.69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-3.38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+1.94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-0.75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-3.44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+1.88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-0.81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-3.50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+1.81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-0.88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-3.56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+1.75</w:t>
            </w:r>
          </w:p>
        </w:tc>
        <w:tc>
          <w:tcPr>
            <w:tcW w:w="7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-0.94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-3.63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+1.69</w:t>
            </w:r>
          </w:p>
        </w:tc>
        <w:tc>
          <w:tcPr>
            <w:tcW w:w="744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-1.00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-3.69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+1.63</w:t>
            </w:r>
          </w:p>
        </w:tc>
        <w:tc>
          <w:tcPr>
            <w:tcW w:w="744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-1.06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-3.75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+1.56</w:t>
            </w:r>
          </w:p>
        </w:tc>
        <w:tc>
          <w:tcPr>
            <w:tcW w:w="744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-1.13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-3.81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+1.50</w:t>
            </w:r>
          </w:p>
        </w:tc>
        <w:tc>
          <w:tcPr>
            <w:tcW w:w="744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-1.19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-3.88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+1.44</w:t>
            </w:r>
          </w:p>
        </w:tc>
        <w:tc>
          <w:tcPr>
            <w:tcW w:w="744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-1.25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-3.94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33ED3" w:rsidRPr="00B33ED3" w:rsidTr="00B33ED3">
        <w:tc>
          <w:tcPr>
            <w:tcW w:w="8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4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+1.38</w:t>
            </w:r>
          </w:p>
        </w:tc>
        <w:tc>
          <w:tcPr>
            <w:tcW w:w="744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-1.31</w:t>
            </w:r>
          </w:p>
        </w:tc>
        <w:tc>
          <w:tcPr>
            <w:tcW w:w="691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576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79   </w:t>
            </w:r>
          </w:p>
        </w:tc>
        <w:tc>
          <w:tcPr>
            <w:tcW w:w="432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88" w:type="dxa"/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-4.00</w:t>
            </w:r>
          </w:p>
        </w:tc>
        <w:tc>
          <w:tcPr>
            <w:tcW w:w="691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7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43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88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B33ED3" w:rsidRPr="00B33ED3" w:rsidRDefault="00B33ED3" w:rsidP="00B33ED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3ED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B33ED3" w:rsidRPr="00B33ED3" w:rsidRDefault="00B33ED3" w:rsidP="00B33ED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3ED3"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178.2pt;height:.75pt" o:hrpct="330" o:hrstd="t" o:hr="t" fillcolor="#aca899" stroked="f"/>
        </w:pict>
      </w:r>
    </w:p>
    <w:bookmarkStart w:id="1" w:name="_ftn1"/>
    <w:p w:rsidR="00B33ED3" w:rsidRPr="00B33ED3" w:rsidRDefault="00B33ED3" w:rsidP="00B3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3ED3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33ED3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"http://alpha.fdu.edu/psychology/score_conversion_tables.htm" \l "_ftnref1" \o "" </w:instrText>
      </w:r>
      <w:r w:rsidRPr="00B33ED3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33ED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vertAlign w:val="superscript"/>
        </w:rPr>
        <w:t>[1]</w:t>
      </w:r>
      <w:r w:rsidRPr="00B33ED3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bookmarkEnd w:id="1"/>
      <w:r w:rsidRPr="00B33ED3">
        <w:rPr>
          <w:rFonts w:ascii="Times New Roman" w:eastAsia="Times New Roman" w:hAnsi="Times New Roman" w:cs="Times New Roman"/>
          <w:sz w:val="20"/>
          <w:szCs w:val="20"/>
        </w:rPr>
        <w:t xml:space="preserve"> Despite having different means and standard deviations, the Stanford-</w:t>
      </w:r>
      <w:proofErr w:type="spellStart"/>
      <w:r w:rsidRPr="00B33ED3">
        <w:rPr>
          <w:rFonts w:ascii="Times New Roman" w:eastAsia="Times New Roman" w:hAnsi="Times New Roman" w:cs="Times New Roman"/>
          <w:sz w:val="20"/>
          <w:szCs w:val="20"/>
        </w:rPr>
        <w:t>Binet</w:t>
      </w:r>
      <w:proofErr w:type="spellEnd"/>
      <w:r w:rsidRPr="00B33ED3">
        <w:rPr>
          <w:rFonts w:ascii="Times New Roman" w:eastAsia="Times New Roman" w:hAnsi="Times New Roman" w:cs="Times New Roman"/>
          <w:sz w:val="20"/>
          <w:szCs w:val="20"/>
        </w:rPr>
        <w:t xml:space="preserve"> Intelligence Scale, 4</w:t>
      </w:r>
      <w:r w:rsidRPr="00B33ED3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00B33ED3">
        <w:rPr>
          <w:rFonts w:ascii="Times New Roman" w:eastAsia="Times New Roman" w:hAnsi="Times New Roman" w:cs="Times New Roman"/>
          <w:sz w:val="20"/>
          <w:szCs w:val="20"/>
        </w:rPr>
        <w:t xml:space="preserve"> ed. uses the same term - Standard Age Scores - to refer to the scores obtained on both the individual tests and the area composite scores.  We use capitalized “SAS” to refer to the area composite score and the lower case “</w:t>
      </w:r>
      <w:proofErr w:type="spellStart"/>
      <w:r w:rsidRPr="00B33ED3">
        <w:rPr>
          <w:rFonts w:ascii="Times New Roman" w:eastAsia="Times New Roman" w:hAnsi="Times New Roman" w:cs="Times New Roman"/>
          <w:sz w:val="20"/>
          <w:szCs w:val="20"/>
        </w:rPr>
        <w:t>sas</w:t>
      </w:r>
      <w:proofErr w:type="spellEnd"/>
      <w:r w:rsidRPr="00B33ED3">
        <w:rPr>
          <w:rFonts w:ascii="Times New Roman" w:eastAsia="Times New Roman" w:hAnsi="Times New Roman" w:cs="Times New Roman"/>
          <w:sz w:val="20"/>
          <w:szCs w:val="20"/>
        </w:rPr>
        <w:t>” to refer to the individual test score.</w:t>
      </w:r>
    </w:p>
    <w:p w:rsidR="00B33ED3" w:rsidRPr="00B33ED3" w:rsidRDefault="00B33ED3" w:rsidP="00B3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3ED3">
        <w:rPr>
          <w:rFonts w:ascii="Times New Roman" w:eastAsia="Times New Roman" w:hAnsi="Times New Roman" w:cs="Times New Roman"/>
          <w:sz w:val="20"/>
          <w:szCs w:val="20"/>
        </w:rPr>
        <w:t xml:space="preserve">See </w:t>
      </w:r>
      <w:proofErr w:type="gramStart"/>
      <w:r w:rsidRPr="00B33ED3">
        <w:rPr>
          <w:rFonts w:ascii="Times New Roman" w:eastAsia="Times New Roman" w:hAnsi="Times New Roman" w:cs="Times New Roman"/>
          <w:sz w:val="20"/>
          <w:szCs w:val="20"/>
        </w:rPr>
        <w:t>also</w:t>
      </w:r>
      <w:r w:rsidRPr="00B33ED3">
        <w:rPr>
          <w:rFonts w:ascii="Times New Roman" w:eastAsia="Times New Roman" w:hAnsi="Times New Roman" w:cs="Times New Roman"/>
          <w:color w:val="336699"/>
          <w:sz w:val="20"/>
          <w:szCs w:val="20"/>
        </w:rPr>
        <w:t xml:space="preserve"> </w:t>
      </w:r>
      <w:r w:rsidRPr="00B33ED3">
        <w:rPr>
          <w:rFonts w:ascii="Times New Roman" w:eastAsia="Times New Roman" w:hAnsi="Times New Roman" w:cs="Times New Roman"/>
          <w:b/>
          <w:bCs/>
          <w:color w:val="336699"/>
          <w:sz w:val="20"/>
          <w:szCs w:val="20"/>
        </w:rPr>
        <w:t> </w:t>
      </w:r>
      <w:proofErr w:type="gramEnd"/>
      <w:hyperlink r:id="rId4" w:history="1">
        <w:r w:rsidRPr="00B33ED3">
          <w:rPr>
            <w:rFonts w:ascii="Times New Roman" w:eastAsia="Times New Roman" w:hAnsi="Times New Roman" w:cs="Times New Roman"/>
            <w:b/>
            <w:bCs/>
            <w:color w:val="336699"/>
            <w:sz w:val="20"/>
            <w:szCs w:val="20"/>
            <w:u w:val="single"/>
          </w:rPr>
          <w:t>Mather, N., &amp; Jaffe, L. E. (in press) Score Equivalents and Classification Labels</w:t>
        </w:r>
      </w:hyperlink>
    </w:p>
    <w:p w:rsidR="00AD30F4" w:rsidRPr="00B33ED3" w:rsidRDefault="00AD30F4">
      <w:pPr>
        <w:rPr>
          <w:sz w:val="20"/>
          <w:szCs w:val="20"/>
        </w:rPr>
      </w:pPr>
    </w:p>
    <w:sectPr w:rsidR="00AD30F4" w:rsidRPr="00B33ED3" w:rsidSect="00B33E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3ED3"/>
    <w:rsid w:val="004F6E14"/>
    <w:rsid w:val="005E1C26"/>
    <w:rsid w:val="00AD30F4"/>
    <w:rsid w:val="00B33ED3"/>
    <w:rsid w:val="00D63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B33ED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33E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3ED3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3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3ED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3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lpha.fdu.edu/psychology/mather_jaffe_convers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1471</Words>
  <Characters>8387</Characters>
  <Application>Microsoft Office Word</Application>
  <DocSecurity>0</DocSecurity>
  <Lines>69</Lines>
  <Paragraphs>19</Paragraphs>
  <ScaleCrop>false</ScaleCrop>
  <Company>Department of Veterans Affairs</Company>
  <LinksUpToDate>false</LinksUpToDate>
  <CharactersWithSpaces>9839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vhasfcdurazt</dc:creator>
  <cp:keywords/>
  <dc:description/>
  <cp:lastModifiedBy>vhasfcdurazt</cp:lastModifiedBy>
  <cp:revision>1</cp:revision>
  <dcterms:created xsi:type="dcterms:W3CDTF">2010-02-09T23:58:00Z</dcterms:created>
  <dcterms:modified xsi:type="dcterms:W3CDTF">2010-02-10T00:04:00Z</dcterms:modified>
</cp:coreProperties>
</file>